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Look w:val="04A0" w:firstRow="1" w:lastRow="0" w:firstColumn="1" w:lastColumn="0" w:noHBand="0" w:noVBand="1"/>
      </w:tblPr>
      <w:tblGrid>
        <w:gridCol w:w="2778"/>
        <w:gridCol w:w="6567"/>
      </w:tblGrid>
      <w:tr w:rsidR="00CD59A1" w:rsidTr="00710A33">
        <w:trPr>
          <w:trHeight w:val="1064"/>
        </w:trPr>
        <w:tc>
          <w:tcPr>
            <w:tcW w:w="2830" w:type="dxa"/>
          </w:tcPr>
          <w:p w:rsidR="00CD59A1" w:rsidRDefault="00CD59A1" w:rsidP="00710A33">
            <w:pPr>
              <w:jc w:val="both"/>
              <w:rPr>
                <w:sz w:val="16"/>
                <w:szCs w:val="16"/>
              </w:rPr>
            </w:pPr>
            <w:r w:rsidRPr="00D02206">
              <w:rPr>
                <w:noProof/>
              </w:rPr>
              <w:drawing>
                <wp:inline distT="0" distB="0" distL="0" distR="0" wp14:anchorId="0FB9F9A0" wp14:editId="6CAA19C2">
                  <wp:extent cx="1183341" cy="39237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0863" cy="418076"/>
                          </a:xfrm>
                          <a:prstGeom prst="rect">
                            <a:avLst/>
                          </a:prstGeom>
                          <a:noFill/>
                          <a:ln>
                            <a:noFill/>
                          </a:ln>
                        </pic:spPr>
                      </pic:pic>
                    </a:graphicData>
                  </a:graphic>
                </wp:inline>
              </w:drawing>
            </w:r>
          </w:p>
          <w:p w:rsidR="00CD59A1" w:rsidRDefault="00CD59A1" w:rsidP="00710A33">
            <w:pPr>
              <w:jc w:val="both"/>
              <w:rPr>
                <w:sz w:val="16"/>
                <w:szCs w:val="16"/>
              </w:rPr>
            </w:pPr>
          </w:p>
          <w:p w:rsidR="00CD59A1" w:rsidRDefault="00CD59A1" w:rsidP="00710A33">
            <w:pPr>
              <w:jc w:val="both"/>
              <w:rPr>
                <w:sz w:val="16"/>
                <w:szCs w:val="16"/>
              </w:rPr>
            </w:pPr>
          </w:p>
        </w:tc>
        <w:tc>
          <w:tcPr>
            <w:tcW w:w="6941" w:type="dxa"/>
          </w:tcPr>
          <w:p w:rsidR="00CD59A1" w:rsidRPr="009E40DE" w:rsidRDefault="00CD59A1" w:rsidP="00710A33">
            <w:pPr>
              <w:jc w:val="right"/>
              <w:rPr>
                <w:b/>
                <w:sz w:val="16"/>
                <w:szCs w:val="16"/>
              </w:rPr>
            </w:pPr>
            <w:r>
              <w:rPr>
                <w:sz w:val="16"/>
                <w:szCs w:val="16"/>
              </w:rPr>
              <w:t xml:space="preserve">                          </w:t>
            </w:r>
            <w:r w:rsidRPr="009E40DE">
              <w:rPr>
                <w:b/>
                <w:sz w:val="16"/>
                <w:szCs w:val="16"/>
              </w:rPr>
              <w:t xml:space="preserve">Приложение </w:t>
            </w:r>
            <w:r>
              <w:rPr>
                <w:b/>
                <w:sz w:val="16"/>
                <w:szCs w:val="16"/>
              </w:rPr>
              <w:t>4</w:t>
            </w:r>
            <w:bookmarkStart w:id="0" w:name="_GoBack"/>
            <w:bookmarkEnd w:id="0"/>
          </w:p>
          <w:p w:rsidR="00CD59A1" w:rsidRPr="009E40DE" w:rsidRDefault="00CD59A1" w:rsidP="00710A33">
            <w:pPr>
              <w:jc w:val="right"/>
              <w:rPr>
                <w:sz w:val="16"/>
                <w:szCs w:val="16"/>
              </w:rPr>
            </w:pPr>
            <w:r w:rsidRPr="009E40DE">
              <w:rPr>
                <w:sz w:val="16"/>
                <w:szCs w:val="16"/>
              </w:rPr>
              <w:t>к Положению об особенностях осуществления в ООО КБ «Столичный Кредит»</w:t>
            </w:r>
          </w:p>
          <w:p w:rsidR="00CD59A1" w:rsidRPr="009E40DE" w:rsidRDefault="00CD59A1" w:rsidP="00710A33">
            <w:pPr>
              <w:jc w:val="right"/>
              <w:rPr>
                <w:sz w:val="16"/>
                <w:szCs w:val="16"/>
              </w:rPr>
            </w:pPr>
            <w:r w:rsidRPr="009E40DE">
              <w:rPr>
                <w:sz w:val="16"/>
                <w:szCs w:val="16"/>
              </w:rPr>
              <w:t xml:space="preserve"> финансовых операций с иностранными юридическими и физическими лицами </w:t>
            </w:r>
          </w:p>
          <w:p w:rsidR="00CD59A1" w:rsidRPr="009E40DE" w:rsidRDefault="00CD59A1" w:rsidP="00710A33">
            <w:pPr>
              <w:jc w:val="right"/>
              <w:rPr>
                <w:sz w:val="16"/>
                <w:szCs w:val="16"/>
              </w:rPr>
            </w:pPr>
            <w:r w:rsidRPr="009E40DE">
              <w:rPr>
                <w:sz w:val="16"/>
                <w:szCs w:val="16"/>
              </w:rPr>
              <w:t xml:space="preserve">и информационного взаимодействия с уполномоченными органами в целях </w:t>
            </w:r>
          </w:p>
          <w:p w:rsidR="00CD59A1" w:rsidRDefault="00CD59A1" w:rsidP="00710A33">
            <w:pPr>
              <w:jc w:val="right"/>
              <w:rPr>
                <w:sz w:val="16"/>
                <w:szCs w:val="16"/>
              </w:rPr>
            </w:pPr>
            <w:r w:rsidRPr="009E40DE">
              <w:rPr>
                <w:sz w:val="16"/>
                <w:szCs w:val="16"/>
              </w:rPr>
              <w:t xml:space="preserve">соблюдения требований режимов </w:t>
            </w:r>
            <w:r w:rsidRPr="009E40DE">
              <w:rPr>
                <w:sz w:val="16"/>
                <w:szCs w:val="16"/>
                <w:lang w:val="en-US"/>
              </w:rPr>
              <w:t>FATCA</w:t>
            </w:r>
            <w:r w:rsidRPr="009E40DE">
              <w:rPr>
                <w:sz w:val="16"/>
                <w:szCs w:val="16"/>
              </w:rPr>
              <w:t xml:space="preserve"> и </w:t>
            </w:r>
            <w:r w:rsidRPr="009E40DE">
              <w:rPr>
                <w:sz w:val="16"/>
                <w:szCs w:val="16"/>
                <w:lang w:val="en-US"/>
              </w:rPr>
              <w:t>CRS</w:t>
            </w:r>
          </w:p>
        </w:tc>
      </w:tr>
    </w:tbl>
    <w:p w:rsidR="00051023" w:rsidRPr="00E701EB" w:rsidRDefault="00051023" w:rsidP="00051023">
      <w:pPr>
        <w:spacing w:after="0" w:line="240" w:lineRule="auto"/>
        <w:jc w:val="right"/>
        <w:rPr>
          <w:rFonts w:ascii="Times New Roman" w:hAnsi="Times New Roman" w:cs="Times New Roman"/>
          <w:sz w:val="18"/>
          <w:szCs w:val="18"/>
        </w:rPr>
      </w:pPr>
    </w:p>
    <w:p w:rsidR="00025139" w:rsidRDefault="00025139" w:rsidP="00025139">
      <w:pPr>
        <w:pStyle w:val="Default"/>
        <w:tabs>
          <w:tab w:val="left" w:pos="0"/>
        </w:tabs>
        <w:jc w:val="center"/>
        <w:rPr>
          <w:rFonts w:eastAsia="Times New Roman"/>
          <w:b/>
          <w:color w:val="auto"/>
        </w:rPr>
      </w:pPr>
    </w:p>
    <w:p w:rsidR="00025139" w:rsidRDefault="00025139" w:rsidP="00025139">
      <w:pPr>
        <w:pStyle w:val="Default"/>
        <w:tabs>
          <w:tab w:val="left" w:pos="0"/>
        </w:tabs>
        <w:jc w:val="center"/>
        <w:rPr>
          <w:rFonts w:eastAsia="Times New Roman"/>
          <w:b/>
          <w:color w:val="auto"/>
        </w:rPr>
      </w:pPr>
      <w:r w:rsidRPr="00295EA8">
        <w:rPr>
          <w:rFonts w:eastAsia="Times New Roman"/>
          <w:b/>
          <w:color w:val="auto"/>
        </w:rPr>
        <w:t>КРИТЕРИИ ОТНЕСЕНИЯ КЛИЕНТОВ К КАТЕГОРИИ</w:t>
      </w:r>
      <w:r>
        <w:rPr>
          <w:rFonts w:eastAsia="Times New Roman"/>
          <w:b/>
          <w:color w:val="auto"/>
        </w:rPr>
        <w:t xml:space="preserve"> </w:t>
      </w:r>
      <w:r w:rsidRPr="00295EA8">
        <w:rPr>
          <w:rFonts w:eastAsia="Times New Roman"/>
          <w:b/>
          <w:color w:val="auto"/>
        </w:rPr>
        <w:t xml:space="preserve">ИНОСТРАННЫХ </w:t>
      </w:r>
      <w:proofErr w:type="gramStart"/>
      <w:r w:rsidRPr="00295EA8">
        <w:rPr>
          <w:rFonts w:eastAsia="Times New Roman"/>
          <w:b/>
          <w:color w:val="auto"/>
        </w:rPr>
        <w:t>НАЛОГОПЛАТЕЛЬЩИКОВ  И</w:t>
      </w:r>
      <w:proofErr w:type="gramEnd"/>
      <w:r w:rsidRPr="00295EA8">
        <w:rPr>
          <w:rFonts w:eastAsia="Times New Roman"/>
          <w:b/>
          <w:color w:val="auto"/>
        </w:rPr>
        <w:t xml:space="preserve"> ПРИЗНАКИ ПРИНАДЛЕЖНОСТИ</w:t>
      </w:r>
    </w:p>
    <w:p w:rsidR="00025139" w:rsidRPr="00295EA8" w:rsidRDefault="00025139" w:rsidP="00025139">
      <w:pPr>
        <w:pStyle w:val="Default"/>
        <w:tabs>
          <w:tab w:val="left" w:pos="360"/>
        </w:tabs>
        <w:jc w:val="center"/>
        <w:rPr>
          <w:rFonts w:eastAsia="Times New Roman"/>
          <w:b/>
          <w:color w:val="auto"/>
        </w:rPr>
      </w:pPr>
      <w:r w:rsidRPr="00295EA8">
        <w:rPr>
          <w:rFonts w:eastAsia="Times New Roman"/>
          <w:b/>
          <w:color w:val="auto"/>
        </w:rPr>
        <w:t>КЛИЕНТА К ИНОСТРАННОМУ ГОСУДАРСТВУ</w:t>
      </w:r>
    </w:p>
    <w:p w:rsidR="00025139" w:rsidRDefault="00025139" w:rsidP="00025139">
      <w:pPr>
        <w:pStyle w:val="Default"/>
        <w:tabs>
          <w:tab w:val="left" w:pos="709"/>
        </w:tabs>
        <w:ind w:firstLine="709"/>
        <w:jc w:val="center"/>
        <w:rPr>
          <w:rFonts w:eastAsia="Times New Roman"/>
          <w:b/>
          <w:color w:val="auto"/>
        </w:rPr>
      </w:pPr>
    </w:p>
    <w:p w:rsidR="00025139" w:rsidRPr="003B552C" w:rsidRDefault="00025139" w:rsidP="00051023">
      <w:pPr>
        <w:pStyle w:val="Default"/>
        <w:numPr>
          <w:ilvl w:val="0"/>
          <w:numId w:val="14"/>
        </w:numPr>
        <w:tabs>
          <w:tab w:val="left" w:pos="1134"/>
        </w:tabs>
        <w:jc w:val="both"/>
        <w:rPr>
          <w:rFonts w:eastAsia="Times New Roman"/>
          <w:b/>
          <w:color w:val="auto"/>
          <w:u w:val="single"/>
        </w:rPr>
      </w:pPr>
      <w:r w:rsidRPr="003B552C">
        <w:rPr>
          <w:rFonts w:eastAsia="Times New Roman"/>
          <w:b/>
          <w:color w:val="auto"/>
          <w:u w:val="single"/>
        </w:rPr>
        <w:t xml:space="preserve">Критерии и </w:t>
      </w:r>
      <w:proofErr w:type="gramStart"/>
      <w:r w:rsidRPr="003B552C">
        <w:rPr>
          <w:rFonts w:eastAsia="Times New Roman"/>
          <w:b/>
          <w:color w:val="auto"/>
          <w:u w:val="single"/>
        </w:rPr>
        <w:t>признаки  для</w:t>
      </w:r>
      <w:proofErr w:type="gramEnd"/>
      <w:r w:rsidRPr="003B552C">
        <w:rPr>
          <w:rFonts w:eastAsia="Times New Roman"/>
          <w:b/>
          <w:color w:val="auto"/>
          <w:u w:val="single"/>
        </w:rPr>
        <w:t xml:space="preserve"> целей </w:t>
      </w:r>
      <w:r w:rsidRPr="003B552C">
        <w:rPr>
          <w:rFonts w:eastAsia="Times New Roman"/>
          <w:b/>
          <w:color w:val="auto"/>
          <w:u w:val="single"/>
          <w:lang w:val="en-US"/>
        </w:rPr>
        <w:t>CRS</w:t>
      </w:r>
      <w:r w:rsidRPr="003B552C">
        <w:rPr>
          <w:rFonts w:eastAsia="Times New Roman"/>
          <w:b/>
          <w:color w:val="auto"/>
          <w:u w:val="single"/>
        </w:rPr>
        <w:t>:</w:t>
      </w:r>
    </w:p>
    <w:p w:rsidR="00025139" w:rsidRPr="005308E3" w:rsidRDefault="00025139" w:rsidP="00025139">
      <w:pPr>
        <w:pStyle w:val="Default"/>
        <w:tabs>
          <w:tab w:val="left" w:pos="709"/>
        </w:tabs>
        <w:ind w:firstLine="709"/>
        <w:jc w:val="both"/>
        <w:rPr>
          <w:rFonts w:eastAsia="Times New Roman"/>
          <w:color w:val="auto"/>
        </w:rPr>
      </w:pPr>
    </w:p>
    <w:p w:rsidR="00025139" w:rsidRPr="003B552C" w:rsidRDefault="00025139" w:rsidP="00025139">
      <w:pPr>
        <w:spacing w:after="0" w:line="240" w:lineRule="auto"/>
        <w:ind w:firstLine="709"/>
        <w:jc w:val="both"/>
        <w:rPr>
          <w:rFonts w:ascii="Times New Roman" w:hAnsi="Times New Roman" w:cs="Times New Roman"/>
          <w:b/>
          <w:bCs/>
          <w:color w:val="000000"/>
          <w:sz w:val="24"/>
          <w:szCs w:val="24"/>
          <w:u w:val="single"/>
          <w:lang w:eastAsia="ru-RU"/>
        </w:rPr>
      </w:pPr>
      <w:r w:rsidRPr="003B552C">
        <w:rPr>
          <w:rFonts w:ascii="Times New Roman" w:hAnsi="Times New Roman" w:cs="Times New Roman"/>
          <w:bCs/>
          <w:color w:val="000000"/>
          <w:sz w:val="24"/>
          <w:szCs w:val="24"/>
          <w:u w:val="single"/>
          <w:lang w:eastAsia="ru-RU"/>
        </w:rPr>
        <w:t xml:space="preserve">1.1. </w:t>
      </w:r>
      <w:r w:rsidRPr="003B552C">
        <w:rPr>
          <w:rFonts w:ascii="Times New Roman" w:hAnsi="Times New Roman" w:cs="Times New Roman"/>
          <w:b/>
          <w:bCs/>
          <w:color w:val="000000"/>
          <w:sz w:val="24"/>
          <w:szCs w:val="24"/>
          <w:u w:val="single"/>
          <w:lang w:eastAsia="ru-RU"/>
        </w:rPr>
        <w:t>Критерии и признаки для Клиентов - физических лиц, индивидуальных предпринимателей и лиц, занимающихся в установленном законодательством порядке частной практикой</w:t>
      </w:r>
      <w:r w:rsidRPr="003B552C">
        <w:rPr>
          <w:rFonts w:ascii="Times New Roman" w:hAnsi="Times New Roman" w:cs="Times New Roman"/>
          <w:b/>
          <w:color w:val="000000"/>
          <w:sz w:val="24"/>
          <w:szCs w:val="24"/>
          <w:u w:val="single"/>
          <w:lang w:eastAsia="ru-RU"/>
        </w:rPr>
        <w:t xml:space="preserve"> </w:t>
      </w:r>
      <w:r w:rsidRPr="003B552C">
        <w:rPr>
          <w:rFonts w:ascii="Times New Roman" w:hAnsi="Times New Roman" w:cs="Times New Roman"/>
          <w:b/>
          <w:bCs/>
          <w:color w:val="000000"/>
          <w:sz w:val="24"/>
          <w:szCs w:val="24"/>
          <w:u w:val="single"/>
          <w:lang w:eastAsia="ru-RU"/>
        </w:rPr>
        <w:t>(а также их представителей, выгодоприобретателей Клиента или лиц, прямо или косвенно его контролирующих):</w:t>
      </w:r>
    </w:p>
    <w:p w:rsidR="00025139" w:rsidRPr="005308E3"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наличие документа, удостоверяющего личность, выданного в иностранном государстве;</w:t>
      </w:r>
    </w:p>
    <w:p w:rsidR="00025139" w:rsidRPr="005308E3"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наличие вида на жительство в иностранном государстве;</w:t>
      </w:r>
    </w:p>
    <w:p w:rsidR="00025139" w:rsidRPr="005308E3"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наличие разрешения на работу в иностранном государстве;</w:t>
      </w:r>
    </w:p>
    <w:p w:rsidR="00025139"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 xml:space="preserve">идентификация соответствующего лица как налогового резидента иностранного государства; </w:t>
      </w:r>
    </w:p>
    <w:p w:rsidR="00025139" w:rsidRPr="005308E3"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место рождения в иностранном государстве;</w:t>
      </w:r>
    </w:p>
    <w:p w:rsidR="00025139" w:rsidRPr="005308E3"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 xml:space="preserve">адрес места фактического проживания или действующий почтовый адрес в иностранном государстве; </w:t>
      </w:r>
    </w:p>
    <w:p w:rsidR="00025139" w:rsidRPr="005308E3"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номер(-а) телефона(-</w:t>
      </w:r>
      <w:proofErr w:type="spellStart"/>
      <w:r w:rsidRPr="005308E3">
        <w:rPr>
          <w:rFonts w:ascii="Times New Roman" w:hAnsi="Times New Roman" w:cs="Times New Roman"/>
          <w:sz w:val="24"/>
          <w:szCs w:val="24"/>
        </w:rPr>
        <w:t>ов</w:t>
      </w:r>
      <w:proofErr w:type="spellEnd"/>
      <w:r w:rsidRPr="005308E3">
        <w:rPr>
          <w:rFonts w:ascii="Times New Roman" w:hAnsi="Times New Roman" w:cs="Times New Roman"/>
          <w:sz w:val="24"/>
          <w:szCs w:val="24"/>
        </w:rPr>
        <w:t>) в иностранном государстве при отсутствии номера телефона в Российской Федерации;</w:t>
      </w:r>
    </w:p>
    <w:p w:rsidR="00025139" w:rsidRPr="005308E3"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постоянное поручение на перечисление средств на счет или адрес в иностранном государстве;</w:t>
      </w:r>
    </w:p>
    <w:p w:rsidR="00025139" w:rsidRPr="005308E3"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 xml:space="preserve">доверенность или право подписи, предоставленные лицу, проживающему в иностранном государстве; </w:t>
      </w:r>
    </w:p>
    <w:p w:rsidR="00025139" w:rsidRPr="005308E3"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адрес до востребования в иностранной юрисдикции (в отсутствии иного адреса в отношении данного Клиента, выгодоприобретателя или лиц, прямо или косвенно контролирующих Клиента)</w:t>
      </w:r>
    </w:p>
    <w:p w:rsidR="00025139" w:rsidRPr="005308E3"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уплата налогов, где получателем платежа является иностранный налоговый орган (назначение платежа связано с уплатой налогов);</w:t>
      </w:r>
    </w:p>
    <w:p w:rsidR="00025139" w:rsidRPr="005308E3" w:rsidRDefault="00025139" w:rsidP="00025139">
      <w:pPr>
        <w:numPr>
          <w:ilvl w:val="0"/>
          <w:numId w:val="1"/>
        </w:numPr>
        <w:tabs>
          <w:tab w:val="left" w:pos="426"/>
          <w:tab w:val="left" w:pos="993"/>
        </w:tabs>
        <w:spacing w:after="0" w:line="240" w:lineRule="auto"/>
        <w:ind w:left="0" w:firstLine="709"/>
        <w:jc w:val="both"/>
        <w:rPr>
          <w:rFonts w:ascii="Times New Roman" w:hAnsi="Times New Roman" w:cs="Times New Roman"/>
          <w:color w:val="000000"/>
          <w:sz w:val="24"/>
          <w:szCs w:val="24"/>
          <w:lang w:eastAsia="ru-RU"/>
        </w:rPr>
      </w:pPr>
      <w:r w:rsidRPr="005308E3">
        <w:rPr>
          <w:rFonts w:ascii="Times New Roman" w:hAnsi="Times New Roman" w:cs="Times New Roman"/>
          <w:sz w:val="24"/>
          <w:szCs w:val="24"/>
        </w:rPr>
        <w:t>оплата</w:t>
      </w:r>
      <w:r w:rsidRPr="005308E3">
        <w:rPr>
          <w:rFonts w:ascii="Times New Roman" w:hAnsi="Times New Roman" w:cs="Times New Roman"/>
          <w:color w:val="000000"/>
          <w:sz w:val="24"/>
          <w:szCs w:val="24"/>
          <w:lang w:eastAsia="ru-RU"/>
        </w:rPr>
        <w:t xml:space="preserve"> по договору купли-продажи недвижимого имущества, где получателем средств является нерезидент (инвестиции взамен гражданства).</w:t>
      </w:r>
    </w:p>
    <w:p w:rsidR="00025139" w:rsidRPr="00A81A2D" w:rsidRDefault="00025139" w:rsidP="00025139">
      <w:pPr>
        <w:spacing w:after="0" w:line="240" w:lineRule="auto"/>
        <w:ind w:firstLine="709"/>
        <w:jc w:val="both"/>
        <w:rPr>
          <w:rFonts w:ascii="Times New Roman" w:hAnsi="Times New Roman" w:cs="Times New Roman"/>
          <w:b/>
          <w:bCs/>
          <w:color w:val="000000"/>
          <w:sz w:val="24"/>
          <w:szCs w:val="24"/>
          <w:u w:val="single"/>
          <w:lang w:eastAsia="ru-RU"/>
        </w:rPr>
      </w:pPr>
      <w:r w:rsidRPr="00A81A2D">
        <w:rPr>
          <w:rFonts w:ascii="Times New Roman" w:hAnsi="Times New Roman" w:cs="Times New Roman"/>
          <w:b/>
          <w:bCs/>
          <w:color w:val="000000"/>
          <w:sz w:val="24"/>
          <w:szCs w:val="24"/>
          <w:lang w:eastAsia="ru-RU"/>
        </w:rPr>
        <w:t xml:space="preserve">1.2. </w:t>
      </w:r>
      <w:r w:rsidRPr="00A81A2D">
        <w:rPr>
          <w:rFonts w:ascii="Times New Roman" w:hAnsi="Times New Roman" w:cs="Times New Roman"/>
          <w:b/>
          <w:bCs/>
          <w:color w:val="000000"/>
          <w:sz w:val="24"/>
          <w:szCs w:val="24"/>
          <w:u w:val="single"/>
          <w:lang w:eastAsia="ru-RU"/>
        </w:rPr>
        <w:t>Критерии и признаки для Клиентов - юридических лиц и структур без образования юридического лица (их выгодоприобретателей (или) лиц, прямо или косвенно их контролирующих):</w:t>
      </w:r>
    </w:p>
    <w:p w:rsidR="00025139" w:rsidRPr="005308E3" w:rsidRDefault="00025139" w:rsidP="00025139">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место инкорпорации (учреждения) - иностранное государство;</w:t>
      </w:r>
    </w:p>
    <w:p w:rsidR="00025139" w:rsidRPr="005308E3" w:rsidRDefault="00025139" w:rsidP="00025139">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5308E3">
        <w:rPr>
          <w:rFonts w:ascii="Times New Roman" w:hAnsi="Times New Roman" w:cs="Times New Roman"/>
          <w:sz w:val="24"/>
          <w:szCs w:val="24"/>
        </w:rPr>
        <w:t>адрес (в том числе адрес головного офиса, адрес органа управления или управляющей структуры) в иностранном государстве;</w:t>
      </w:r>
    </w:p>
    <w:p w:rsidR="00025139" w:rsidRPr="005308E3" w:rsidRDefault="00025139" w:rsidP="00025139">
      <w:pPr>
        <w:numPr>
          <w:ilvl w:val="0"/>
          <w:numId w:val="1"/>
        </w:numPr>
        <w:tabs>
          <w:tab w:val="left" w:pos="993"/>
        </w:tabs>
        <w:spacing w:after="0" w:line="240" w:lineRule="auto"/>
        <w:ind w:left="0" w:firstLine="709"/>
        <w:jc w:val="both"/>
        <w:rPr>
          <w:rFonts w:ascii="Times New Roman" w:hAnsi="Times New Roman" w:cs="Times New Roman"/>
          <w:color w:val="000000"/>
          <w:sz w:val="24"/>
          <w:szCs w:val="24"/>
          <w:lang w:eastAsia="ru-RU"/>
        </w:rPr>
      </w:pPr>
      <w:r w:rsidRPr="005308E3">
        <w:rPr>
          <w:rFonts w:ascii="Times New Roman" w:hAnsi="Times New Roman" w:cs="Times New Roman"/>
          <w:sz w:val="24"/>
          <w:szCs w:val="24"/>
        </w:rPr>
        <w:t>адрес лица, исполняющего функции по управлению структурой без образования юридического лица</w:t>
      </w:r>
      <w:r w:rsidRPr="005308E3">
        <w:rPr>
          <w:rFonts w:ascii="Times New Roman" w:hAnsi="Times New Roman" w:cs="Times New Roman"/>
          <w:color w:val="000000"/>
          <w:sz w:val="24"/>
          <w:szCs w:val="24"/>
          <w:lang w:eastAsia="ru-RU"/>
        </w:rPr>
        <w:t>, в иностранном государстве.</w:t>
      </w:r>
    </w:p>
    <w:p w:rsidR="00025139" w:rsidRPr="00051023" w:rsidRDefault="00025139" w:rsidP="00051023">
      <w:pPr>
        <w:pStyle w:val="a3"/>
        <w:numPr>
          <w:ilvl w:val="1"/>
          <w:numId w:val="14"/>
        </w:numPr>
        <w:spacing w:after="0" w:line="240" w:lineRule="auto"/>
        <w:ind w:left="0" w:firstLine="709"/>
        <w:jc w:val="both"/>
        <w:rPr>
          <w:rFonts w:ascii="Times New Roman" w:hAnsi="Times New Roman" w:cs="Times New Roman"/>
          <w:color w:val="000000"/>
          <w:sz w:val="24"/>
          <w:szCs w:val="24"/>
          <w:lang w:eastAsia="ru-RU"/>
        </w:rPr>
      </w:pPr>
      <w:r w:rsidRPr="00051023">
        <w:rPr>
          <w:rFonts w:ascii="Times New Roman" w:hAnsi="Times New Roman" w:cs="Times New Roman"/>
          <w:color w:val="000000"/>
          <w:sz w:val="24"/>
          <w:szCs w:val="24"/>
          <w:lang w:eastAsia="ru-RU"/>
        </w:rPr>
        <w:t xml:space="preserve">Клиенты – юридические лица, на основании статистических данных ОКВЭД, имеющейся финансовой отчетности и иной доступной информации подлежат классификации на активные и пассивные нефинансовые организации. При этом, в случае, если проведенные идентификационные мероприятия позволяют достоверно квалифицировать Клиента как активную нефинансовую организацию, идентификация налогового </w:t>
      </w:r>
      <w:proofErr w:type="spellStart"/>
      <w:r w:rsidRPr="00051023">
        <w:rPr>
          <w:rFonts w:ascii="Times New Roman" w:hAnsi="Times New Roman" w:cs="Times New Roman"/>
          <w:color w:val="000000"/>
          <w:sz w:val="24"/>
          <w:szCs w:val="24"/>
          <w:lang w:eastAsia="ru-RU"/>
        </w:rPr>
        <w:t>резидентства</w:t>
      </w:r>
      <w:proofErr w:type="spellEnd"/>
      <w:r w:rsidRPr="00051023">
        <w:rPr>
          <w:rFonts w:ascii="Times New Roman" w:hAnsi="Times New Roman" w:cs="Times New Roman"/>
          <w:color w:val="000000"/>
          <w:sz w:val="24"/>
          <w:szCs w:val="24"/>
          <w:lang w:eastAsia="ru-RU"/>
        </w:rPr>
        <w:t xml:space="preserve"> ее </w:t>
      </w:r>
      <w:proofErr w:type="spellStart"/>
      <w:r w:rsidRPr="00051023">
        <w:rPr>
          <w:rFonts w:ascii="Times New Roman" w:hAnsi="Times New Roman" w:cs="Times New Roman"/>
          <w:color w:val="000000"/>
          <w:sz w:val="24"/>
          <w:szCs w:val="24"/>
          <w:lang w:eastAsia="ru-RU"/>
        </w:rPr>
        <w:t>бенефициарных</w:t>
      </w:r>
      <w:proofErr w:type="spellEnd"/>
      <w:r w:rsidRPr="00051023">
        <w:rPr>
          <w:rFonts w:ascii="Times New Roman" w:hAnsi="Times New Roman" w:cs="Times New Roman"/>
          <w:color w:val="000000"/>
          <w:sz w:val="24"/>
          <w:szCs w:val="24"/>
          <w:lang w:eastAsia="ru-RU"/>
        </w:rPr>
        <w:t xml:space="preserve"> владельцев – не осуществляется.</w:t>
      </w:r>
    </w:p>
    <w:p w:rsidR="00025139" w:rsidRPr="00051023" w:rsidRDefault="00025139" w:rsidP="00051023">
      <w:pPr>
        <w:pStyle w:val="a3"/>
        <w:numPr>
          <w:ilvl w:val="1"/>
          <w:numId w:val="14"/>
        </w:numPr>
        <w:spacing w:after="0" w:line="240" w:lineRule="auto"/>
        <w:ind w:left="0" w:firstLine="709"/>
        <w:jc w:val="both"/>
        <w:rPr>
          <w:rFonts w:ascii="Times New Roman" w:hAnsi="Times New Roman" w:cs="Times New Roman"/>
          <w:color w:val="000000"/>
          <w:sz w:val="24"/>
          <w:szCs w:val="24"/>
          <w:lang w:eastAsia="ru-RU"/>
        </w:rPr>
      </w:pPr>
      <w:r w:rsidRPr="00051023">
        <w:rPr>
          <w:rFonts w:ascii="Times New Roman" w:hAnsi="Times New Roman" w:cs="Times New Roman"/>
          <w:color w:val="000000"/>
          <w:sz w:val="24"/>
          <w:szCs w:val="24"/>
          <w:lang w:eastAsia="ru-RU"/>
        </w:rPr>
        <w:lastRenderedPageBreak/>
        <w:t>Включению в отчетные данные не подлежат публичные организации, организации финансового рынка, международные организации, органы государственной власти, центральные банки, а также иные исключенные организации. Перечень исключенных организаций размещен на официальном сайте Федеральной налоговой службы Российской Федерации в сети Интернет.</w:t>
      </w:r>
    </w:p>
    <w:p w:rsidR="00025139" w:rsidRPr="005308E3" w:rsidRDefault="00025139" w:rsidP="00025139">
      <w:pPr>
        <w:pStyle w:val="Default"/>
        <w:tabs>
          <w:tab w:val="left" w:pos="709"/>
        </w:tabs>
        <w:ind w:firstLine="709"/>
        <w:jc w:val="both"/>
        <w:rPr>
          <w:rFonts w:eastAsia="Times New Roman"/>
          <w:b/>
          <w:color w:val="auto"/>
        </w:rPr>
      </w:pPr>
    </w:p>
    <w:p w:rsidR="00025139" w:rsidRPr="00051023" w:rsidRDefault="00025139" w:rsidP="00051023">
      <w:pPr>
        <w:pStyle w:val="Default"/>
        <w:numPr>
          <w:ilvl w:val="0"/>
          <w:numId w:val="8"/>
        </w:numPr>
        <w:tabs>
          <w:tab w:val="left" w:pos="709"/>
          <w:tab w:val="left" w:pos="851"/>
          <w:tab w:val="left" w:pos="993"/>
        </w:tabs>
        <w:ind w:firstLine="169"/>
        <w:rPr>
          <w:rFonts w:eastAsia="Times New Roman"/>
          <w:b/>
          <w:color w:val="auto"/>
          <w:u w:val="single"/>
        </w:rPr>
      </w:pPr>
      <w:r w:rsidRPr="00051023">
        <w:rPr>
          <w:rFonts w:eastAsia="Times New Roman"/>
          <w:b/>
          <w:color w:val="auto"/>
          <w:u w:val="single"/>
        </w:rPr>
        <w:t xml:space="preserve">Критерии и признаки </w:t>
      </w:r>
      <w:proofErr w:type="gramStart"/>
      <w:r w:rsidRPr="00051023">
        <w:rPr>
          <w:rFonts w:eastAsia="Times New Roman"/>
          <w:b/>
          <w:color w:val="auto"/>
          <w:u w:val="single"/>
        </w:rPr>
        <w:t>для  целей</w:t>
      </w:r>
      <w:proofErr w:type="gramEnd"/>
      <w:r w:rsidRPr="00051023">
        <w:rPr>
          <w:rFonts w:eastAsia="Times New Roman"/>
          <w:b/>
          <w:color w:val="auto"/>
          <w:u w:val="single"/>
        </w:rPr>
        <w:t xml:space="preserve">  </w:t>
      </w:r>
      <w:r w:rsidRPr="00051023">
        <w:rPr>
          <w:rFonts w:eastAsia="Times New Roman"/>
          <w:b/>
          <w:color w:val="auto"/>
          <w:u w:val="single"/>
          <w:lang w:val="en-US"/>
        </w:rPr>
        <w:t>FATCA</w:t>
      </w:r>
    </w:p>
    <w:p w:rsidR="00025139" w:rsidRPr="005308E3" w:rsidRDefault="00025139" w:rsidP="00025139">
      <w:pPr>
        <w:pStyle w:val="Default"/>
        <w:tabs>
          <w:tab w:val="left" w:pos="709"/>
        </w:tabs>
        <w:ind w:firstLine="709"/>
        <w:jc w:val="both"/>
        <w:rPr>
          <w:rFonts w:eastAsia="Times New Roman"/>
          <w:b/>
          <w:color w:val="auto"/>
        </w:rPr>
      </w:pPr>
    </w:p>
    <w:p w:rsidR="00025139" w:rsidRPr="00051023" w:rsidRDefault="00025139" w:rsidP="00051023">
      <w:pPr>
        <w:pStyle w:val="a3"/>
        <w:numPr>
          <w:ilvl w:val="1"/>
          <w:numId w:val="15"/>
        </w:numPr>
        <w:spacing w:after="0" w:line="240" w:lineRule="auto"/>
        <w:ind w:left="0" w:firstLine="709"/>
        <w:jc w:val="both"/>
        <w:rPr>
          <w:rFonts w:ascii="Times New Roman" w:hAnsi="Times New Roman" w:cs="Times New Roman"/>
          <w:b/>
          <w:bCs/>
          <w:color w:val="000000"/>
          <w:sz w:val="24"/>
          <w:szCs w:val="24"/>
          <w:u w:val="single"/>
          <w:lang w:eastAsia="ru-RU"/>
        </w:rPr>
      </w:pPr>
      <w:r w:rsidRPr="00051023">
        <w:rPr>
          <w:rFonts w:ascii="Times New Roman" w:hAnsi="Times New Roman" w:cs="Times New Roman"/>
          <w:b/>
          <w:bCs/>
          <w:color w:val="000000"/>
          <w:sz w:val="24"/>
          <w:szCs w:val="24"/>
          <w:u w:val="single"/>
          <w:lang w:eastAsia="ru-RU"/>
        </w:rPr>
        <w:t>Критерии и признаки для Клиентов - физических лиц, индивидуальных предпринимателей и лиц, занимающихся в установленном законодательством порядке частной практикой</w:t>
      </w:r>
      <w:r w:rsidRPr="00051023">
        <w:rPr>
          <w:rFonts w:ascii="Times New Roman" w:hAnsi="Times New Roman" w:cs="Times New Roman"/>
          <w:b/>
          <w:color w:val="000000"/>
          <w:sz w:val="24"/>
          <w:szCs w:val="24"/>
          <w:u w:val="single"/>
          <w:lang w:eastAsia="ru-RU"/>
        </w:rPr>
        <w:t xml:space="preserve"> </w:t>
      </w:r>
      <w:r w:rsidRPr="00051023">
        <w:rPr>
          <w:rFonts w:ascii="Times New Roman" w:hAnsi="Times New Roman" w:cs="Times New Roman"/>
          <w:b/>
          <w:bCs/>
          <w:color w:val="000000"/>
          <w:sz w:val="24"/>
          <w:szCs w:val="24"/>
          <w:u w:val="single"/>
          <w:lang w:eastAsia="ru-RU"/>
        </w:rPr>
        <w:t>(а также их представителей, выгодоприобретателей Клиента или лиц, прямо или косвенно его контролирующих):</w:t>
      </w:r>
    </w:p>
    <w:p w:rsidR="00025139" w:rsidRPr="00E57960" w:rsidRDefault="00025139" w:rsidP="00025139">
      <w:pPr>
        <w:numPr>
          <w:ilvl w:val="0"/>
          <w:numId w:val="3"/>
        </w:numPr>
        <w:tabs>
          <w:tab w:val="left" w:pos="993"/>
        </w:tabs>
        <w:spacing w:after="0" w:line="240" w:lineRule="auto"/>
        <w:ind w:left="0" w:firstLine="709"/>
        <w:contextualSpacing/>
        <w:jc w:val="both"/>
        <w:rPr>
          <w:rFonts w:ascii="Times New Roman" w:hAnsi="Times New Roman" w:cs="Times New Roman"/>
          <w:sz w:val="24"/>
          <w:szCs w:val="24"/>
        </w:rPr>
      </w:pPr>
      <w:r w:rsidRPr="00E57960">
        <w:rPr>
          <w:rFonts w:ascii="Times New Roman" w:hAnsi="Times New Roman" w:cs="Times New Roman"/>
          <w:sz w:val="24"/>
          <w:szCs w:val="24"/>
        </w:rPr>
        <w:t>гражданство США;</w:t>
      </w:r>
    </w:p>
    <w:p w:rsidR="00025139" w:rsidRPr="00E57960" w:rsidRDefault="00025139" w:rsidP="00025139">
      <w:pPr>
        <w:numPr>
          <w:ilvl w:val="0"/>
          <w:numId w:val="3"/>
        </w:numPr>
        <w:tabs>
          <w:tab w:val="left" w:pos="993"/>
        </w:tabs>
        <w:spacing w:after="0" w:line="240" w:lineRule="auto"/>
        <w:ind w:left="0" w:firstLine="709"/>
        <w:contextualSpacing/>
        <w:jc w:val="both"/>
        <w:rPr>
          <w:rFonts w:ascii="Times New Roman" w:hAnsi="Times New Roman" w:cs="Times New Roman"/>
          <w:sz w:val="24"/>
          <w:szCs w:val="24"/>
        </w:rPr>
      </w:pPr>
      <w:r w:rsidRPr="00E57960">
        <w:rPr>
          <w:rFonts w:ascii="Times New Roman" w:hAnsi="Times New Roman" w:cs="Times New Roman"/>
          <w:sz w:val="24"/>
          <w:szCs w:val="24"/>
        </w:rPr>
        <w:t xml:space="preserve">разрешение на постоянное пребывание на территории США - </w:t>
      </w:r>
      <w:r w:rsidRPr="00E57960">
        <w:rPr>
          <w:rFonts w:ascii="Times New Roman" w:hAnsi="Times New Roman" w:cs="Times New Roman"/>
          <w:sz w:val="24"/>
          <w:szCs w:val="24"/>
          <w:lang w:val="en-US"/>
        </w:rPr>
        <w:t>Green</w:t>
      </w:r>
      <w:r w:rsidRPr="00E57960">
        <w:rPr>
          <w:rFonts w:ascii="Times New Roman" w:hAnsi="Times New Roman" w:cs="Times New Roman"/>
          <w:sz w:val="24"/>
          <w:szCs w:val="24"/>
        </w:rPr>
        <w:t xml:space="preserve"> </w:t>
      </w:r>
      <w:r w:rsidRPr="00E57960">
        <w:rPr>
          <w:rFonts w:ascii="Times New Roman" w:hAnsi="Times New Roman" w:cs="Times New Roman"/>
          <w:sz w:val="24"/>
          <w:szCs w:val="24"/>
          <w:lang w:val="en-US"/>
        </w:rPr>
        <w:t>Card</w:t>
      </w:r>
      <w:r w:rsidRPr="00E57960">
        <w:rPr>
          <w:rFonts w:ascii="Times New Roman" w:hAnsi="Times New Roman" w:cs="Times New Roman"/>
          <w:sz w:val="24"/>
          <w:szCs w:val="24"/>
        </w:rPr>
        <w:t xml:space="preserve"> (Форма </w:t>
      </w:r>
      <w:r w:rsidRPr="00E57960">
        <w:rPr>
          <w:rFonts w:ascii="Times New Roman" w:hAnsi="Times New Roman" w:cs="Times New Roman"/>
          <w:sz w:val="24"/>
          <w:szCs w:val="24"/>
          <w:lang w:val="en-US"/>
        </w:rPr>
        <w:t>I</w:t>
      </w:r>
      <w:r w:rsidRPr="00E57960">
        <w:rPr>
          <w:rFonts w:ascii="Times New Roman" w:hAnsi="Times New Roman" w:cs="Times New Roman"/>
          <w:sz w:val="24"/>
          <w:szCs w:val="24"/>
        </w:rPr>
        <w:t>-551);</w:t>
      </w:r>
    </w:p>
    <w:p w:rsidR="00025139" w:rsidRPr="00E57960" w:rsidRDefault="00025139" w:rsidP="00025139">
      <w:pPr>
        <w:numPr>
          <w:ilvl w:val="0"/>
          <w:numId w:val="3"/>
        </w:numPr>
        <w:tabs>
          <w:tab w:val="left" w:pos="993"/>
        </w:tabs>
        <w:spacing w:after="0" w:line="240" w:lineRule="auto"/>
        <w:ind w:left="0" w:firstLine="709"/>
        <w:contextualSpacing/>
        <w:jc w:val="both"/>
        <w:rPr>
          <w:rFonts w:ascii="Times New Roman" w:hAnsi="Times New Roman" w:cs="Times New Roman"/>
          <w:sz w:val="24"/>
          <w:szCs w:val="24"/>
        </w:rPr>
      </w:pPr>
      <w:r w:rsidRPr="00E57960">
        <w:rPr>
          <w:rFonts w:ascii="Times New Roman" w:hAnsi="Times New Roman" w:cs="Times New Roman"/>
          <w:sz w:val="24"/>
          <w:szCs w:val="24"/>
        </w:rPr>
        <w:t>долгосрочное пребывание на территории США (31 день в текущем году или 183 дня на протяжении последних 3 лет). При этом сумма дней, в течение которых физическое лицо присутствовало на территории США в текущем году, а также в два предшествующих года, умножается на установленный коэффициент: коэффициент для текущего года равен 1 (т.е. учитываются все дни, проведенные в США в текущем году), коэффициент предшествующего года равен 1/3 и коэффициент позапрошлого года - 1/6;</w:t>
      </w:r>
    </w:p>
    <w:p w:rsidR="00025139" w:rsidRPr="00E57960" w:rsidRDefault="00025139" w:rsidP="00025139">
      <w:pPr>
        <w:numPr>
          <w:ilvl w:val="0"/>
          <w:numId w:val="2"/>
        </w:numPr>
        <w:shd w:val="clear" w:color="auto" w:fill="FFFFFF"/>
        <w:tabs>
          <w:tab w:val="left" w:pos="993"/>
        </w:tabs>
        <w:spacing w:after="0" w:line="240" w:lineRule="auto"/>
        <w:ind w:left="0" w:firstLine="709"/>
        <w:contextualSpacing/>
        <w:jc w:val="both"/>
        <w:rPr>
          <w:rFonts w:ascii="Times New Roman" w:hAnsi="Times New Roman" w:cs="Times New Roman"/>
          <w:sz w:val="24"/>
          <w:szCs w:val="24"/>
        </w:rPr>
      </w:pPr>
      <w:r w:rsidRPr="00E57960">
        <w:rPr>
          <w:rFonts w:ascii="Times New Roman" w:eastAsia="Times New Roman" w:hAnsi="Times New Roman" w:cs="Times New Roman"/>
          <w:bCs/>
          <w:sz w:val="24"/>
          <w:szCs w:val="24"/>
          <w:lang w:eastAsia="ru-RU"/>
        </w:rPr>
        <w:t>место рождения Клиента-физического лица – США;</w:t>
      </w:r>
    </w:p>
    <w:p w:rsidR="00025139" w:rsidRPr="00E57960" w:rsidRDefault="00025139" w:rsidP="00025139">
      <w:pPr>
        <w:numPr>
          <w:ilvl w:val="0"/>
          <w:numId w:val="2"/>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Cs/>
          <w:sz w:val="24"/>
          <w:szCs w:val="24"/>
          <w:lang w:eastAsia="ru-RU"/>
        </w:rPr>
      </w:pPr>
      <w:r w:rsidRPr="00E57960">
        <w:rPr>
          <w:rFonts w:ascii="Times New Roman" w:eastAsia="Times New Roman" w:hAnsi="Times New Roman" w:cs="Times New Roman"/>
          <w:bCs/>
          <w:sz w:val="24"/>
          <w:szCs w:val="24"/>
          <w:lang w:eastAsia="ru-RU"/>
        </w:rPr>
        <w:t>физическое лицо, родители которого являются гражданами США;</w:t>
      </w:r>
    </w:p>
    <w:p w:rsidR="00025139" w:rsidRPr="00E57960" w:rsidRDefault="00025139" w:rsidP="00025139">
      <w:pPr>
        <w:numPr>
          <w:ilvl w:val="0"/>
          <w:numId w:val="2"/>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57960">
        <w:rPr>
          <w:rFonts w:ascii="Times New Roman" w:eastAsia="Times New Roman" w:hAnsi="Times New Roman" w:cs="Times New Roman"/>
          <w:bCs/>
          <w:sz w:val="24"/>
          <w:szCs w:val="24"/>
          <w:lang w:eastAsia="ru-RU"/>
        </w:rPr>
        <w:t>наличие почтового адреса в США;</w:t>
      </w:r>
    </w:p>
    <w:p w:rsidR="00025139" w:rsidRPr="00E57960" w:rsidRDefault="00025139" w:rsidP="00025139">
      <w:pPr>
        <w:numPr>
          <w:ilvl w:val="0"/>
          <w:numId w:val="2"/>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57960">
        <w:rPr>
          <w:rFonts w:ascii="Times New Roman" w:eastAsia="Times New Roman" w:hAnsi="Times New Roman" w:cs="Times New Roman"/>
          <w:bCs/>
          <w:sz w:val="24"/>
          <w:szCs w:val="24"/>
          <w:lang w:eastAsia="ru-RU"/>
        </w:rPr>
        <w:t>адрес фактического проживания, номер телефона (код страны +1), зарегистрированный в США;</w:t>
      </w:r>
    </w:p>
    <w:p w:rsidR="00025139" w:rsidRPr="00E57960" w:rsidRDefault="00025139" w:rsidP="00025139">
      <w:pPr>
        <w:numPr>
          <w:ilvl w:val="0"/>
          <w:numId w:val="2"/>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57960">
        <w:rPr>
          <w:rFonts w:ascii="Times New Roman" w:eastAsia="Times New Roman" w:hAnsi="Times New Roman" w:cs="Times New Roman"/>
          <w:bCs/>
          <w:sz w:val="24"/>
          <w:szCs w:val="24"/>
          <w:lang w:eastAsia="ru-RU"/>
        </w:rPr>
        <w:t>наличие долгосрочного платежного поручения для перевода средств на счет в банк</w:t>
      </w:r>
      <w:r>
        <w:rPr>
          <w:rFonts w:ascii="Times New Roman" w:eastAsia="Times New Roman" w:hAnsi="Times New Roman" w:cs="Times New Roman"/>
          <w:bCs/>
          <w:sz w:val="24"/>
          <w:szCs w:val="24"/>
          <w:lang w:eastAsia="ru-RU"/>
        </w:rPr>
        <w:t>ах</w:t>
      </w:r>
      <w:r w:rsidRPr="00E57960">
        <w:rPr>
          <w:rFonts w:ascii="Times New Roman" w:eastAsia="Times New Roman" w:hAnsi="Times New Roman" w:cs="Times New Roman"/>
          <w:bCs/>
          <w:sz w:val="24"/>
          <w:szCs w:val="24"/>
          <w:lang w:eastAsia="ru-RU"/>
        </w:rPr>
        <w:t xml:space="preserve"> в США;</w:t>
      </w:r>
    </w:p>
    <w:p w:rsidR="00025139" w:rsidRPr="00E57960" w:rsidRDefault="00025139" w:rsidP="00025139">
      <w:pPr>
        <w:numPr>
          <w:ilvl w:val="0"/>
          <w:numId w:val="2"/>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Cs/>
          <w:sz w:val="24"/>
          <w:szCs w:val="24"/>
          <w:lang w:eastAsia="ru-RU"/>
        </w:rPr>
      </w:pPr>
      <w:r w:rsidRPr="00E57960">
        <w:rPr>
          <w:rFonts w:ascii="Times New Roman" w:eastAsia="Times New Roman" w:hAnsi="Times New Roman" w:cs="Times New Roman"/>
          <w:bCs/>
          <w:sz w:val="24"/>
          <w:szCs w:val="24"/>
          <w:lang w:eastAsia="ru-RU"/>
        </w:rPr>
        <w:t>наличие доверенности или права подписи, предоставленное лицу, место жительства которого находится в США;</w:t>
      </w:r>
    </w:p>
    <w:p w:rsidR="00025139" w:rsidRPr="00E57960" w:rsidRDefault="00025139" w:rsidP="00025139">
      <w:pPr>
        <w:numPr>
          <w:ilvl w:val="0"/>
          <w:numId w:val="2"/>
        </w:numPr>
        <w:shd w:val="clear" w:color="auto" w:fill="FFFFFF"/>
        <w:tabs>
          <w:tab w:val="left" w:pos="993"/>
        </w:tabs>
        <w:spacing w:after="0" w:line="240" w:lineRule="auto"/>
        <w:ind w:left="0" w:firstLine="709"/>
        <w:contextualSpacing/>
        <w:jc w:val="both"/>
        <w:rPr>
          <w:rFonts w:ascii="Times New Roman" w:hAnsi="Times New Roman" w:cs="Times New Roman"/>
          <w:sz w:val="24"/>
          <w:szCs w:val="24"/>
        </w:rPr>
      </w:pPr>
      <w:r w:rsidRPr="00E57960">
        <w:rPr>
          <w:rFonts w:ascii="Times New Roman" w:hAnsi="Times New Roman" w:cs="Times New Roman"/>
          <w:sz w:val="24"/>
          <w:szCs w:val="24"/>
        </w:rPr>
        <w:t>в качестве единственного адреса для направления выписок по счетам, открытым в Банке, а также иной корреспонденции, в отношении данного лица указано «для передачи» или «до востребования».</w:t>
      </w:r>
    </w:p>
    <w:p w:rsidR="00025139" w:rsidRPr="005308E3" w:rsidRDefault="00051023" w:rsidP="0005102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2.2.</w:t>
      </w:r>
      <w:r w:rsidR="00025139">
        <w:rPr>
          <w:rFonts w:ascii="Times New Roman" w:hAnsi="Times New Roman" w:cs="Times New Roman"/>
          <w:sz w:val="24"/>
          <w:szCs w:val="24"/>
        </w:rPr>
        <w:t xml:space="preserve"> </w:t>
      </w:r>
      <w:r w:rsidR="00025139" w:rsidRPr="00E57960">
        <w:rPr>
          <w:rFonts w:ascii="Times New Roman" w:hAnsi="Times New Roman" w:cs="Times New Roman"/>
          <w:sz w:val="24"/>
          <w:szCs w:val="24"/>
        </w:rPr>
        <w:t>Учет фактора долгосрочного пребывания на территории США не распространяется</w:t>
      </w:r>
      <w:r w:rsidR="00025139" w:rsidRPr="005308E3">
        <w:rPr>
          <w:rFonts w:ascii="Times New Roman" w:hAnsi="Times New Roman" w:cs="Times New Roman"/>
          <w:sz w:val="24"/>
          <w:szCs w:val="24"/>
        </w:rPr>
        <w:t xml:space="preserve"> (и соответственно не требуется идентификация) на следующие категории физических лиц:</w:t>
      </w:r>
    </w:p>
    <w:p w:rsidR="00025139" w:rsidRPr="005308E3" w:rsidRDefault="00025139" w:rsidP="00025139">
      <w:pPr>
        <w:numPr>
          <w:ilvl w:val="0"/>
          <w:numId w:val="4"/>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5308E3">
        <w:rPr>
          <w:rFonts w:ascii="Times New Roman" w:hAnsi="Times New Roman" w:cs="Times New Roman"/>
          <w:sz w:val="24"/>
          <w:szCs w:val="24"/>
        </w:rPr>
        <w:t>временно присутствующие на территории США в качестве представителя иностранного правительства или лица, связанного с иностранным правительством, на основании виз категорий</w:t>
      </w:r>
      <w:r w:rsidRPr="005308E3">
        <w:rPr>
          <w:rFonts w:ascii="Times New Roman" w:eastAsia="Times New Roman" w:hAnsi="Times New Roman" w:cs="Times New Roman"/>
          <w:sz w:val="24"/>
          <w:szCs w:val="24"/>
          <w:lang w:eastAsia="ru-RU"/>
        </w:rPr>
        <w:t xml:space="preserve"> «A» или «G»;</w:t>
      </w:r>
    </w:p>
    <w:p w:rsidR="00025139" w:rsidRPr="005308E3" w:rsidRDefault="00025139" w:rsidP="00025139">
      <w:pPr>
        <w:numPr>
          <w:ilvl w:val="0"/>
          <w:numId w:val="4"/>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5308E3">
        <w:rPr>
          <w:rFonts w:ascii="Times New Roman" w:eastAsia="Times New Roman" w:hAnsi="Times New Roman" w:cs="Times New Roman"/>
          <w:sz w:val="24"/>
          <w:szCs w:val="24"/>
          <w:lang w:eastAsia="ru-RU"/>
        </w:rPr>
        <w:t>учитель или ученик, временно находящиеся на территории США по визам категорий «J» или «Q»;</w:t>
      </w:r>
    </w:p>
    <w:p w:rsidR="00025139" w:rsidRPr="005308E3" w:rsidRDefault="00025139" w:rsidP="00025139">
      <w:pPr>
        <w:numPr>
          <w:ilvl w:val="0"/>
          <w:numId w:val="4"/>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5308E3">
        <w:rPr>
          <w:rFonts w:ascii="Times New Roman" w:eastAsia="Times New Roman" w:hAnsi="Times New Roman" w:cs="Times New Roman"/>
          <w:sz w:val="24"/>
          <w:szCs w:val="24"/>
          <w:lang w:eastAsia="ru-RU"/>
        </w:rPr>
        <w:t>студент, временно находящийся на территории США по визам категорий «F», «J», «M» или «Q»;</w:t>
      </w:r>
    </w:p>
    <w:p w:rsidR="00025139" w:rsidRDefault="00025139" w:rsidP="00025139">
      <w:pPr>
        <w:numPr>
          <w:ilvl w:val="0"/>
          <w:numId w:val="4"/>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5308E3">
        <w:rPr>
          <w:rFonts w:ascii="Times New Roman" w:eastAsia="Times New Roman" w:hAnsi="Times New Roman" w:cs="Times New Roman"/>
          <w:sz w:val="24"/>
          <w:szCs w:val="24"/>
          <w:lang w:eastAsia="ru-RU"/>
        </w:rPr>
        <w:t>профессиональный спортсмен или тренер, временно находящийся на территории США для участия в благотворительных спортивных мероприятиях.</w:t>
      </w:r>
    </w:p>
    <w:p w:rsidR="00025139" w:rsidRPr="0041333F" w:rsidRDefault="00025139" w:rsidP="00051023">
      <w:pPr>
        <w:pStyle w:val="a3"/>
        <w:numPr>
          <w:ilvl w:val="1"/>
          <w:numId w:val="16"/>
        </w:numPr>
        <w:shd w:val="clear" w:color="auto" w:fill="FFFFFF"/>
        <w:spacing w:after="0" w:line="24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1333F">
        <w:rPr>
          <w:rFonts w:ascii="Times New Roman" w:eastAsia="Times New Roman" w:hAnsi="Times New Roman" w:cs="Times New Roman"/>
          <w:sz w:val="24"/>
          <w:szCs w:val="24"/>
          <w:lang w:eastAsia="ru-RU"/>
        </w:rPr>
        <w:t>Физическое лицо (индивидуальный предприниматель) не может быть отнесено к категории Клиента – иностранного налогоплательщика в том случае, если физическое лицо (индивидуальный предприниматель) является гражданином Российской Федерации и не имеет одновременно с гражданством Российской Федерации второго гражданства в иностранном государстве (за исключением гражданства государства – члена Таможенного союза), вида на жительство в иностранном государстве.</w:t>
      </w:r>
    </w:p>
    <w:p w:rsidR="00025139" w:rsidRDefault="00025139" w:rsidP="00051023">
      <w:pPr>
        <w:pStyle w:val="a3"/>
        <w:numPr>
          <w:ilvl w:val="1"/>
          <w:numId w:val="16"/>
        </w:numPr>
        <w:shd w:val="clear" w:color="auto" w:fill="FFFFFF"/>
        <w:spacing w:after="0" w:line="240" w:lineRule="auto"/>
        <w:ind w:left="0" w:firstLine="851"/>
        <w:jc w:val="both"/>
        <w:rPr>
          <w:rFonts w:ascii="Times New Roman" w:eastAsia="Times New Roman" w:hAnsi="Times New Roman" w:cs="Times New Roman"/>
          <w:sz w:val="24"/>
          <w:szCs w:val="24"/>
          <w:lang w:eastAsia="ru-RU"/>
        </w:rPr>
      </w:pPr>
      <w:r w:rsidRPr="00051023">
        <w:rPr>
          <w:rFonts w:ascii="Times New Roman" w:eastAsia="Times New Roman" w:hAnsi="Times New Roman" w:cs="Times New Roman"/>
          <w:sz w:val="24"/>
          <w:szCs w:val="24"/>
          <w:lang w:eastAsia="ru-RU"/>
        </w:rPr>
        <w:lastRenderedPageBreak/>
        <w:t xml:space="preserve"> При наличии у Клиента признаков, указанных в </w:t>
      </w:r>
      <w:r w:rsidR="00051023" w:rsidRPr="00051023">
        <w:rPr>
          <w:rFonts w:ascii="Times New Roman" w:eastAsia="Times New Roman" w:hAnsi="Times New Roman" w:cs="Times New Roman"/>
          <w:sz w:val="24"/>
          <w:szCs w:val="24"/>
          <w:lang w:eastAsia="ru-RU"/>
        </w:rPr>
        <w:t xml:space="preserve">п. </w:t>
      </w:r>
      <w:proofErr w:type="gramStart"/>
      <w:r w:rsidRPr="00051023">
        <w:rPr>
          <w:rFonts w:ascii="Times New Roman" w:eastAsia="Times New Roman" w:hAnsi="Times New Roman" w:cs="Times New Roman"/>
          <w:sz w:val="24"/>
          <w:szCs w:val="24"/>
          <w:lang w:eastAsia="ru-RU"/>
        </w:rPr>
        <w:t>2.1.,</w:t>
      </w:r>
      <w:proofErr w:type="gramEnd"/>
      <w:r w:rsidRPr="00051023">
        <w:rPr>
          <w:rFonts w:ascii="Times New Roman" w:eastAsia="Times New Roman" w:hAnsi="Times New Roman" w:cs="Times New Roman"/>
          <w:sz w:val="24"/>
          <w:szCs w:val="24"/>
          <w:lang w:eastAsia="ru-RU"/>
        </w:rPr>
        <w:t xml:space="preserve"> такой Клиент может не признаваться налоговым резидентом США только в случае документального подтверждения отсутствия/утраты гражданства США, путем представления в Банк Сертификата потери гражданства США (</w:t>
      </w:r>
      <w:proofErr w:type="spellStart"/>
      <w:r w:rsidRPr="00051023">
        <w:rPr>
          <w:rFonts w:ascii="Times New Roman" w:eastAsia="Times New Roman" w:hAnsi="Times New Roman" w:cs="Times New Roman"/>
          <w:sz w:val="24"/>
          <w:szCs w:val="24"/>
          <w:lang w:eastAsia="ru-RU"/>
        </w:rPr>
        <w:t>Certificate</w:t>
      </w:r>
      <w:proofErr w:type="spellEnd"/>
      <w:r w:rsidRPr="00051023">
        <w:rPr>
          <w:rFonts w:ascii="Times New Roman" w:eastAsia="Times New Roman" w:hAnsi="Times New Roman" w:cs="Times New Roman"/>
          <w:sz w:val="24"/>
          <w:szCs w:val="24"/>
          <w:lang w:eastAsia="ru-RU"/>
        </w:rPr>
        <w:t xml:space="preserve"> </w:t>
      </w:r>
      <w:proofErr w:type="spellStart"/>
      <w:r w:rsidRPr="00051023">
        <w:rPr>
          <w:rFonts w:ascii="Times New Roman" w:eastAsia="Times New Roman" w:hAnsi="Times New Roman" w:cs="Times New Roman"/>
          <w:sz w:val="24"/>
          <w:szCs w:val="24"/>
          <w:lang w:eastAsia="ru-RU"/>
        </w:rPr>
        <w:t>of</w:t>
      </w:r>
      <w:proofErr w:type="spellEnd"/>
      <w:r w:rsidRPr="00051023">
        <w:rPr>
          <w:rFonts w:ascii="Times New Roman" w:eastAsia="Times New Roman" w:hAnsi="Times New Roman" w:cs="Times New Roman"/>
          <w:sz w:val="24"/>
          <w:szCs w:val="24"/>
          <w:lang w:eastAsia="ru-RU"/>
        </w:rPr>
        <w:t xml:space="preserve"> </w:t>
      </w:r>
      <w:proofErr w:type="spellStart"/>
      <w:r w:rsidRPr="00051023">
        <w:rPr>
          <w:rFonts w:ascii="Times New Roman" w:eastAsia="Times New Roman" w:hAnsi="Times New Roman" w:cs="Times New Roman"/>
          <w:sz w:val="24"/>
          <w:szCs w:val="24"/>
          <w:lang w:eastAsia="ru-RU"/>
        </w:rPr>
        <w:t>loss</w:t>
      </w:r>
      <w:proofErr w:type="spellEnd"/>
      <w:r w:rsidRPr="00051023">
        <w:rPr>
          <w:rFonts w:ascii="Times New Roman" w:eastAsia="Times New Roman" w:hAnsi="Times New Roman" w:cs="Times New Roman"/>
          <w:sz w:val="24"/>
          <w:szCs w:val="24"/>
          <w:lang w:eastAsia="ru-RU"/>
        </w:rPr>
        <w:t xml:space="preserve"> </w:t>
      </w:r>
      <w:proofErr w:type="spellStart"/>
      <w:r w:rsidRPr="00051023">
        <w:rPr>
          <w:rFonts w:ascii="Times New Roman" w:eastAsia="Times New Roman" w:hAnsi="Times New Roman" w:cs="Times New Roman"/>
          <w:sz w:val="24"/>
          <w:szCs w:val="24"/>
          <w:lang w:eastAsia="ru-RU"/>
        </w:rPr>
        <w:t>of</w:t>
      </w:r>
      <w:proofErr w:type="spellEnd"/>
      <w:r w:rsidRPr="00051023">
        <w:rPr>
          <w:rFonts w:ascii="Times New Roman" w:eastAsia="Times New Roman" w:hAnsi="Times New Roman" w:cs="Times New Roman"/>
          <w:sz w:val="24"/>
          <w:szCs w:val="24"/>
          <w:lang w:eastAsia="ru-RU"/>
        </w:rPr>
        <w:t xml:space="preserve"> </w:t>
      </w:r>
      <w:proofErr w:type="spellStart"/>
      <w:r w:rsidRPr="00051023">
        <w:rPr>
          <w:rFonts w:ascii="Times New Roman" w:eastAsia="Times New Roman" w:hAnsi="Times New Roman" w:cs="Times New Roman"/>
          <w:sz w:val="24"/>
          <w:szCs w:val="24"/>
          <w:lang w:eastAsia="ru-RU"/>
        </w:rPr>
        <w:t>Nationality</w:t>
      </w:r>
      <w:proofErr w:type="spellEnd"/>
      <w:r w:rsidRPr="00051023">
        <w:rPr>
          <w:rFonts w:ascii="Times New Roman" w:eastAsia="Times New Roman" w:hAnsi="Times New Roman" w:cs="Times New Roman"/>
          <w:sz w:val="24"/>
          <w:szCs w:val="24"/>
          <w:lang w:eastAsia="ru-RU"/>
        </w:rPr>
        <w:t xml:space="preserve"> </w:t>
      </w:r>
      <w:proofErr w:type="spellStart"/>
      <w:r w:rsidRPr="00051023">
        <w:rPr>
          <w:rFonts w:ascii="Times New Roman" w:eastAsia="Times New Roman" w:hAnsi="Times New Roman" w:cs="Times New Roman"/>
          <w:sz w:val="24"/>
          <w:szCs w:val="24"/>
          <w:lang w:eastAsia="ru-RU"/>
        </w:rPr>
        <w:t>of</w:t>
      </w:r>
      <w:proofErr w:type="spellEnd"/>
      <w:r w:rsidRPr="00051023">
        <w:rPr>
          <w:rFonts w:ascii="Times New Roman" w:eastAsia="Times New Roman" w:hAnsi="Times New Roman" w:cs="Times New Roman"/>
          <w:sz w:val="24"/>
          <w:szCs w:val="24"/>
          <w:lang w:eastAsia="ru-RU"/>
        </w:rPr>
        <w:t xml:space="preserve"> </w:t>
      </w:r>
      <w:proofErr w:type="spellStart"/>
      <w:r w:rsidRPr="00051023">
        <w:rPr>
          <w:rFonts w:ascii="Times New Roman" w:eastAsia="Times New Roman" w:hAnsi="Times New Roman" w:cs="Times New Roman"/>
          <w:sz w:val="24"/>
          <w:szCs w:val="24"/>
          <w:lang w:eastAsia="ru-RU"/>
        </w:rPr>
        <w:t>the</w:t>
      </w:r>
      <w:proofErr w:type="spellEnd"/>
      <w:r w:rsidRPr="00051023">
        <w:rPr>
          <w:rFonts w:ascii="Times New Roman" w:eastAsia="Times New Roman" w:hAnsi="Times New Roman" w:cs="Times New Roman"/>
          <w:sz w:val="24"/>
          <w:szCs w:val="24"/>
          <w:lang w:eastAsia="ru-RU"/>
        </w:rPr>
        <w:t xml:space="preserve"> U.S.) по форме DS 4083 Бюро консульских дел Государственного департамента США.</w:t>
      </w:r>
    </w:p>
    <w:p w:rsidR="00051023" w:rsidRPr="00051023" w:rsidRDefault="00051023" w:rsidP="00051023">
      <w:pPr>
        <w:pStyle w:val="a3"/>
        <w:shd w:val="clear" w:color="auto" w:fill="FFFFFF"/>
        <w:spacing w:after="0" w:line="240" w:lineRule="auto"/>
        <w:ind w:left="851"/>
        <w:jc w:val="both"/>
        <w:rPr>
          <w:rFonts w:ascii="Times New Roman" w:eastAsia="Times New Roman" w:hAnsi="Times New Roman" w:cs="Times New Roman"/>
          <w:sz w:val="24"/>
          <w:szCs w:val="24"/>
          <w:lang w:eastAsia="ru-RU"/>
        </w:rPr>
      </w:pPr>
    </w:p>
    <w:p w:rsidR="00025139" w:rsidRPr="00A81A2D" w:rsidRDefault="00025139" w:rsidP="00051023">
      <w:pPr>
        <w:pStyle w:val="a3"/>
        <w:numPr>
          <w:ilvl w:val="1"/>
          <w:numId w:val="16"/>
        </w:numPr>
        <w:spacing w:after="0" w:line="240" w:lineRule="auto"/>
        <w:ind w:left="0" w:firstLine="851"/>
        <w:jc w:val="both"/>
        <w:rPr>
          <w:rFonts w:ascii="Times New Roman" w:hAnsi="Times New Roman" w:cs="Times New Roman"/>
          <w:b/>
          <w:bCs/>
          <w:color w:val="000000"/>
          <w:sz w:val="24"/>
          <w:szCs w:val="24"/>
          <w:u w:val="single"/>
          <w:lang w:eastAsia="ru-RU"/>
        </w:rPr>
      </w:pPr>
      <w:r>
        <w:rPr>
          <w:rFonts w:ascii="Times New Roman" w:hAnsi="Times New Roman" w:cs="Times New Roman"/>
          <w:b/>
          <w:bCs/>
          <w:color w:val="000000"/>
          <w:sz w:val="24"/>
          <w:szCs w:val="24"/>
          <w:u w:val="single"/>
          <w:lang w:eastAsia="ru-RU"/>
        </w:rPr>
        <w:t xml:space="preserve"> </w:t>
      </w:r>
      <w:r w:rsidRPr="00A81A2D">
        <w:rPr>
          <w:rFonts w:ascii="Times New Roman" w:hAnsi="Times New Roman" w:cs="Times New Roman"/>
          <w:b/>
          <w:bCs/>
          <w:color w:val="000000"/>
          <w:sz w:val="24"/>
          <w:szCs w:val="24"/>
          <w:u w:val="single"/>
          <w:lang w:eastAsia="ru-RU"/>
        </w:rPr>
        <w:t>Критерии и признаки для Клиентов - юридических лиц и структур без образования юридического лица (их выгодоприобретателей (или) лиц, прямо или косвенно их контролирующих):</w:t>
      </w:r>
    </w:p>
    <w:p w:rsidR="00025139" w:rsidRPr="005308E3" w:rsidRDefault="00025139" w:rsidP="00025139">
      <w:pPr>
        <w:numPr>
          <w:ilvl w:val="1"/>
          <w:numId w:val="6"/>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место регистрации/учреждения в США;</w:t>
      </w:r>
    </w:p>
    <w:p w:rsidR="00025139" w:rsidRPr="005308E3" w:rsidRDefault="00025139" w:rsidP="00025139">
      <w:pPr>
        <w:numPr>
          <w:ilvl w:val="0"/>
          <w:numId w:val="4"/>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 xml:space="preserve">налоговое </w:t>
      </w:r>
      <w:proofErr w:type="spellStart"/>
      <w:r w:rsidRPr="005308E3">
        <w:rPr>
          <w:rFonts w:ascii="Times New Roman" w:eastAsia="Times New Roman" w:hAnsi="Times New Roman" w:cs="Times New Roman"/>
          <w:bCs/>
          <w:sz w:val="24"/>
          <w:szCs w:val="24"/>
          <w:lang w:eastAsia="ru-RU"/>
        </w:rPr>
        <w:t>резидентство</w:t>
      </w:r>
      <w:proofErr w:type="spellEnd"/>
      <w:r w:rsidRPr="005308E3">
        <w:rPr>
          <w:rFonts w:ascii="Times New Roman" w:eastAsia="Times New Roman" w:hAnsi="Times New Roman" w:cs="Times New Roman"/>
          <w:bCs/>
          <w:sz w:val="24"/>
          <w:szCs w:val="24"/>
          <w:lang w:eastAsia="ru-RU"/>
        </w:rPr>
        <w:t xml:space="preserve"> в США;</w:t>
      </w:r>
    </w:p>
    <w:p w:rsidR="00025139" w:rsidRPr="005308E3" w:rsidRDefault="00025139" w:rsidP="00025139">
      <w:pPr>
        <w:numPr>
          <w:ilvl w:val="0"/>
          <w:numId w:val="4"/>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наличие в составе бенефициаров (контролирующих лиц) Клиента физических лиц, являющихся гражданами США, либо имеющих разрешение на постоянное пребывание на территории США, либо долгосрочно пребывающих на территории США, или юридических лиц, являющихся налоговыми резидентами США, которым прямо или косвенно принадлежит более 10% акций или долей в уставном капитале Клиента – юридического лица.</w:t>
      </w:r>
    </w:p>
    <w:p w:rsidR="00025139" w:rsidRPr="005308E3" w:rsidRDefault="00025139" w:rsidP="00025139">
      <w:pPr>
        <w:spacing w:after="0" w:line="240" w:lineRule="auto"/>
        <w:ind w:firstLine="851"/>
        <w:contextualSpacing/>
        <w:jc w:val="both"/>
        <w:rPr>
          <w:rFonts w:ascii="Times New Roman" w:hAnsi="Times New Roman" w:cs="Times New Roman"/>
          <w:sz w:val="24"/>
          <w:szCs w:val="24"/>
        </w:rPr>
      </w:pPr>
      <w:r w:rsidRPr="005308E3">
        <w:rPr>
          <w:rFonts w:ascii="Times New Roman" w:hAnsi="Times New Roman" w:cs="Times New Roman"/>
          <w:sz w:val="24"/>
          <w:szCs w:val="24"/>
        </w:rPr>
        <w:t>Косвенные критерии принадлежности Клиента к налогоплательщикам США:</w:t>
      </w:r>
    </w:p>
    <w:p w:rsidR="00025139" w:rsidRPr="005308E3" w:rsidRDefault="00025139" w:rsidP="00025139">
      <w:pPr>
        <w:numPr>
          <w:ilvl w:val="1"/>
          <w:numId w:val="6"/>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наличие почтового адреса в США;</w:t>
      </w:r>
    </w:p>
    <w:p w:rsidR="00025139" w:rsidRPr="005308E3" w:rsidRDefault="00025139" w:rsidP="00025139">
      <w:pPr>
        <w:numPr>
          <w:ilvl w:val="1"/>
          <w:numId w:val="6"/>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наличие номера телефона, зарегистрированного в США;</w:t>
      </w:r>
    </w:p>
    <w:p w:rsidR="00025139" w:rsidRPr="005308E3" w:rsidRDefault="00025139" w:rsidP="00025139">
      <w:pPr>
        <w:numPr>
          <w:ilvl w:val="1"/>
          <w:numId w:val="6"/>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наличие доверенности, выданной лицу с адресом в США;</w:t>
      </w:r>
    </w:p>
    <w:p w:rsidR="00025139" w:rsidRPr="005308E3" w:rsidRDefault="00025139" w:rsidP="00025139">
      <w:pPr>
        <w:numPr>
          <w:ilvl w:val="1"/>
          <w:numId w:val="6"/>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право подписи, выданное лицу с адресом в США;</w:t>
      </w:r>
    </w:p>
    <w:p w:rsidR="00025139" w:rsidRDefault="00025139" w:rsidP="00025139">
      <w:pPr>
        <w:numPr>
          <w:ilvl w:val="1"/>
          <w:numId w:val="6"/>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в качестве единственного адреса для направления выписок по счетам, открытым в Банке, в отношении данного лица указано «для передачи» или «до востребования».</w:t>
      </w:r>
    </w:p>
    <w:p w:rsidR="00025139" w:rsidRPr="001407C6" w:rsidRDefault="00025139" w:rsidP="00025139">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07C6">
        <w:rPr>
          <w:rFonts w:ascii="Times New Roman" w:hAnsi="Times New Roman" w:cs="Times New Roman"/>
          <w:color w:val="000000"/>
          <w:sz w:val="24"/>
          <w:szCs w:val="24"/>
        </w:rPr>
        <w:t>При определении контролирующих лиц (</w:t>
      </w:r>
      <w:proofErr w:type="spellStart"/>
      <w:r w:rsidRPr="001407C6">
        <w:rPr>
          <w:rFonts w:ascii="Times New Roman" w:hAnsi="Times New Roman" w:cs="Times New Roman"/>
          <w:color w:val="000000"/>
          <w:sz w:val="24"/>
          <w:szCs w:val="24"/>
        </w:rPr>
        <w:t>Бенефициарных</w:t>
      </w:r>
      <w:proofErr w:type="spellEnd"/>
      <w:r w:rsidRPr="001407C6">
        <w:rPr>
          <w:rFonts w:ascii="Times New Roman" w:hAnsi="Times New Roman" w:cs="Times New Roman"/>
          <w:color w:val="000000"/>
          <w:sz w:val="24"/>
          <w:szCs w:val="24"/>
        </w:rPr>
        <w:t xml:space="preserve"> владельцев) юридического лица для определения доли лица в иностранной корпорации, партнерстве, трасте необходимо суммировать его долю с долями, которыми владеют лица, связанные с данным лицом, в </w:t>
      </w:r>
      <w:proofErr w:type="spellStart"/>
      <w:r w:rsidRPr="001407C6">
        <w:rPr>
          <w:rFonts w:ascii="Times New Roman" w:hAnsi="Times New Roman" w:cs="Times New Roman"/>
          <w:color w:val="000000"/>
          <w:sz w:val="24"/>
          <w:szCs w:val="24"/>
        </w:rPr>
        <w:t>т.ч</w:t>
      </w:r>
      <w:proofErr w:type="spellEnd"/>
      <w:r w:rsidRPr="001407C6">
        <w:rPr>
          <w:rFonts w:ascii="Times New Roman" w:hAnsi="Times New Roman" w:cs="Times New Roman"/>
          <w:color w:val="000000"/>
          <w:sz w:val="24"/>
          <w:szCs w:val="24"/>
        </w:rPr>
        <w:t xml:space="preserve">. супруги, члены семей и пр. </w:t>
      </w:r>
    </w:p>
    <w:p w:rsidR="00025139" w:rsidRPr="001407C6" w:rsidRDefault="00025139" w:rsidP="00025139">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07C6">
        <w:rPr>
          <w:rFonts w:ascii="Times New Roman" w:hAnsi="Times New Roman" w:cs="Times New Roman"/>
          <w:color w:val="000000"/>
          <w:sz w:val="24"/>
          <w:szCs w:val="24"/>
        </w:rPr>
        <w:t xml:space="preserve">При определении доли лица иностранной корпорации, партнерстве, трасте необходимо принимать во внимание все факты и обстоятельства, имеющие значение. При этом любые инструменты, которые созданы для сокрытия (искусственного снижения) доли владения, должны игнорироваться. </w:t>
      </w:r>
    </w:p>
    <w:p w:rsidR="00025139" w:rsidRPr="001407C6" w:rsidRDefault="00025139" w:rsidP="00025139">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07C6">
        <w:rPr>
          <w:rFonts w:ascii="Times New Roman" w:hAnsi="Times New Roman" w:cs="Times New Roman"/>
          <w:color w:val="000000"/>
          <w:sz w:val="24"/>
          <w:szCs w:val="24"/>
        </w:rPr>
        <w:t>К лицам, исключенным для целей отнесения к налогоплательщикам США (</w:t>
      </w:r>
      <w:proofErr w:type="spellStart"/>
      <w:r w:rsidRPr="001407C6">
        <w:rPr>
          <w:rFonts w:ascii="Times New Roman" w:hAnsi="Times New Roman" w:cs="Times New Roman"/>
          <w:color w:val="000000"/>
          <w:sz w:val="24"/>
          <w:szCs w:val="24"/>
        </w:rPr>
        <w:t>Not</w:t>
      </w:r>
      <w:proofErr w:type="spellEnd"/>
      <w:r w:rsidRPr="001407C6">
        <w:rPr>
          <w:rFonts w:ascii="Times New Roman" w:hAnsi="Times New Roman" w:cs="Times New Roman"/>
          <w:color w:val="000000"/>
          <w:sz w:val="24"/>
          <w:szCs w:val="24"/>
        </w:rPr>
        <w:t xml:space="preserve"> a </w:t>
      </w:r>
      <w:proofErr w:type="spellStart"/>
      <w:r w:rsidRPr="001407C6">
        <w:rPr>
          <w:rFonts w:ascii="Times New Roman" w:hAnsi="Times New Roman" w:cs="Times New Roman"/>
          <w:color w:val="000000"/>
          <w:sz w:val="24"/>
          <w:szCs w:val="24"/>
        </w:rPr>
        <w:t>Specified</w:t>
      </w:r>
      <w:proofErr w:type="spellEnd"/>
      <w:r w:rsidRPr="001407C6">
        <w:rPr>
          <w:rFonts w:ascii="Times New Roman" w:hAnsi="Times New Roman" w:cs="Times New Roman"/>
          <w:color w:val="000000"/>
          <w:sz w:val="24"/>
          <w:szCs w:val="24"/>
        </w:rPr>
        <w:t xml:space="preserve"> U.S. </w:t>
      </w:r>
      <w:proofErr w:type="spellStart"/>
      <w:r w:rsidRPr="001407C6">
        <w:rPr>
          <w:rFonts w:ascii="Times New Roman" w:hAnsi="Times New Roman" w:cs="Times New Roman"/>
          <w:color w:val="000000"/>
          <w:sz w:val="24"/>
          <w:szCs w:val="24"/>
        </w:rPr>
        <w:t>Person</w:t>
      </w:r>
      <w:proofErr w:type="spellEnd"/>
      <w:r w:rsidRPr="001407C6">
        <w:rPr>
          <w:rFonts w:ascii="Times New Roman" w:hAnsi="Times New Roman" w:cs="Times New Roman"/>
          <w:color w:val="000000"/>
          <w:sz w:val="24"/>
          <w:szCs w:val="24"/>
        </w:rPr>
        <w:t xml:space="preserve">), относятся: </w:t>
      </w:r>
    </w:p>
    <w:p w:rsidR="00025139" w:rsidRPr="00892290" w:rsidRDefault="00025139" w:rsidP="00025139">
      <w:pPr>
        <w:pStyle w:val="a3"/>
        <w:numPr>
          <w:ilvl w:val="1"/>
          <w:numId w:val="6"/>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 xml:space="preserve">американские корпорации, акции которых регулярно котируются на одной и более организованной бирже ценных бумаг; </w:t>
      </w:r>
    </w:p>
    <w:p w:rsidR="00025139" w:rsidRPr="00892290" w:rsidRDefault="00025139" w:rsidP="00025139">
      <w:pPr>
        <w:pStyle w:val="a3"/>
        <w:numPr>
          <w:ilvl w:val="0"/>
          <w:numId w:val="9"/>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 xml:space="preserve">американские компании или корпорации, входящие в расширенную аффилированную группу компаний и/или корпораций, акции которых регулярно котируются на одной или более организованной бирже ценных бумаг; </w:t>
      </w:r>
    </w:p>
    <w:p w:rsidR="00025139" w:rsidRPr="00892290" w:rsidRDefault="00025139" w:rsidP="00025139">
      <w:pPr>
        <w:pStyle w:val="a3"/>
        <w:numPr>
          <w:ilvl w:val="0"/>
          <w:numId w:val="9"/>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 xml:space="preserve">американские организации, освобожденные от налогообложения согласно секции 501(а), а также пенсионные фонды, определение которых установлено секцией 7701(а) (37) Налогового Кодекса США; </w:t>
      </w:r>
    </w:p>
    <w:p w:rsidR="00025139" w:rsidRPr="00892290" w:rsidRDefault="00025139" w:rsidP="00025139">
      <w:pPr>
        <w:pStyle w:val="a3"/>
        <w:numPr>
          <w:ilvl w:val="0"/>
          <w:numId w:val="9"/>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 xml:space="preserve">государственные учреждения или агентства США и их дочерние организации; </w:t>
      </w:r>
    </w:p>
    <w:p w:rsidR="00025139" w:rsidRPr="001407C6" w:rsidRDefault="00025139" w:rsidP="00025139">
      <w:pPr>
        <w:autoSpaceDE w:val="0"/>
        <w:autoSpaceDN w:val="0"/>
        <w:adjustRightInd w:val="0"/>
        <w:spacing w:after="17" w:line="240" w:lineRule="auto"/>
        <w:jc w:val="both"/>
        <w:rPr>
          <w:rFonts w:ascii="Times New Roman" w:hAnsi="Times New Roman" w:cs="Times New Roman"/>
          <w:color w:val="000000"/>
          <w:sz w:val="24"/>
          <w:szCs w:val="24"/>
        </w:rPr>
      </w:pPr>
      <w:r w:rsidRPr="001407C6">
        <w:rPr>
          <w:rFonts w:ascii="Times New Roman" w:hAnsi="Times New Roman" w:cs="Times New Roman"/>
          <w:color w:val="000000"/>
          <w:sz w:val="24"/>
          <w:szCs w:val="24"/>
        </w:rPr>
        <w:t xml:space="preserve">любой штат США, Округ Колумбия, подконтрольные США территории (Американское Самоа, Территория Гуам, Северные Марианские о-ва, </w:t>
      </w:r>
      <w:proofErr w:type="spellStart"/>
      <w:r w:rsidRPr="001407C6">
        <w:rPr>
          <w:rFonts w:ascii="Times New Roman" w:hAnsi="Times New Roman" w:cs="Times New Roman"/>
          <w:color w:val="000000"/>
          <w:sz w:val="24"/>
          <w:szCs w:val="24"/>
        </w:rPr>
        <w:t>Пуэрто</w:t>
      </w:r>
      <w:proofErr w:type="spellEnd"/>
      <w:r w:rsidRPr="001407C6">
        <w:rPr>
          <w:rFonts w:ascii="Times New Roman" w:hAnsi="Times New Roman" w:cs="Times New Roman"/>
          <w:color w:val="000000"/>
          <w:sz w:val="24"/>
          <w:szCs w:val="24"/>
        </w:rPr>
        <w:t xml:space="preserve"> </w:t>
      </w:r>
      <w:proofErr w:type="spellStart"/>
      <w:r w:rsidRPr="001407C6">
        <w:rPr>
          <w:rFonts w:ascii="Times New Roman" w:hAnsi="Times New Roman" w:cs="Times New Roman"/>
          <w:color w:val="000000"/>
          <w:sz w:val="24"/>
          <w:szCs w:val="24"/>
        </w:rPr>
        <w:t>Рико</w:t>
      </w:r>
      <w:proofErr w:type="spellEnd"/>
      <w:r w:rsidRPr="001407C6">
        <w:rPr>
          <w:rFonts w:ascii="Times New Roman" w:hAnsi="Times New Roman" w:cs="Times New Roman"/>
          <w:color w:val="000000"/>
          <w:sz w:val="24"/>
          <w:szCs w:val="24"/>
        </w:rPr>
        <w:t xml:space="preserve">, Американские Виргинские о-ва), любое политическое отделение данных субъектов или любое </w:t>
      </w:r>
      <w:proofErr w:type="gramStart"/>
      <w:r w:rsidRPr="001407C6">
        <w:rPr>
          <w:rFonts w:ascii="Times New Roman" w:hAnsi="Times New Roman" w:cs="Times New Roman"/>
          <w:color w:val="000000"/>
          <w:sz w:val="24"/>
          <w:szCs w:val="24"/>
        </w:rPr>
        <w:t>агентство</w:t>
      </w:r>
      <w:proofErr w:type="gramEnd"/>
      <w:r w:rsidRPr="001407C6">
        <w:rPr>
          <w:rFonts w:ascii="Times New Roman" w:hAnsi="Times New Roman" w:cs="Times New Roman"/>
          <w:color w:val="000000"/>
          <w:sz w:val="24"/>
          <w:szCs w:val="24"/>
        </w:rPr>
        <w:t xml:space="preserve"> или другое образование, которое ими создано или полностью им принадлежит; </w:t>
      </w:r>
    </w:p>
    <w:p w:rsidR="00025139" w:rsidRPr="00892290" w:rsidRDefault="00025139" w:rsidP="00025139">
      <w:pPr>
        <w:pStyle w:val="a3"/>
        <w:numPr>
          <w:ilvl w:val="0"/>
          <w:numId w:val="10"/>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 xml:space="preserve">американские банки в соответствии с определением секции 581 Налогового Кодекса США (банковские и трастовые организации, существенную часть бизнеса которых составляет прием депозитов, выдача кредитов или предоставление фидуциарных услуг и которые имеют соответствующую лицензию); </w:t>
      </w:r>
    </w:p>
    <w:p w:rsidR="00025139" w:rsidRPr="00892290" w:rsidRDefault="00025139" w:rsidP="00025139">
      <w:pPr>
        <w:pStyle w:val="a3"/>
        <w:numPr>
          <w:ilvl w:val="0"/>
          <w:numId w:val="10"/>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lastRenderedPageBreak/>
        <w:t xml:space="preserve">американские инвестиционные фонды недвижимости, определенные в соответствии с секцией 856 Налогового Кодекса США; </w:t>
      </w:r>
    </w:p>
    <w:p w:rsidR="00025139" w:rsidRPr="00892290" w:rsidRDefault="00025139" w:rsidP="00025139">
      <w:pPr>
        <w:pStyle w:val="a3"/>
        <w:numPr>
          <w:ilvl w:val="0"/>
          <w:numId w:val="10"/>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 xml:space="preserve">американские регулируемые инвестиционные компании, соответствующие определению секции 851 Налогового Кодекса США или любые компании, зарегистрированные в Комиссии США по ценным бумагам и биржам; </w:t>
      </w:r>
    </w:p>
    <w:p w:rsidR="00025139" w:rsidRPr="00892290" w:rsidRDefault="00025139" w:rsidP="00025139">
      <w:pPr>
        <w:pStyle w:val="a3"/>
        <w:numPr>
          <w:ilvl w:val="0"/>
          <w:numId w:val="10"/>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американские инвестиционные фонды (</w:t>
      </w:r>
      <w:proofErr w:type="spellStart"/>
      <w:r w:rsidRPr="00892290">
        <w:rPr>
          <w:rFonts w:ascii="Times New Roman" w:hAnsi="Times New Roman" w:cs="Times New Roman"/>
          <w:color w:val="000000"/>
          <w:sz w:val="24"/>
          <w:szCs w:val="24"/>
        </w:rPr>
        <w:t>common</w:t>
      </w:r>
      <w:proofErr w:type="spellEnd"/>
      <w:r w:rsidRPr="00892290">
        <w:rPr>
          <w:rFonts w:ascii="Times New Roman" w:hAnsi="Times New Roman" w:cs="Times New Roman"/>
          <w:color w:val="000000"/>
          <w:sz w:val="24"/>
          <w:szCs w:val="24"/>
        </w:rPr>
        <w:t xml:space="preserve"> </w:t>
      </w:r>
      <w:proofErr w:type="spellStart"/>
      <w:r w:rsidRPr="00892290">
        <w:rPr>
          <w:rFonts w:ascii="Times New Roman" w:hAnsi="Times New Roman" w:cs="Times New Roman"/>
          <w:color w:val="000000"/>
          <w:sz w:val="24"/>
          <w:szCs w:val="24"/>
        </w:rPr>
        <w:t>trust</w:t>
      </w:r>
      <w:proofErr w:type="spellEnd"/>
      <w:r w:rsidRPr="00892290">
        <w:rPr>
          <w:rFonts w:ascii="Times New Roman" w:hAnsi="Times New Roman" w:cs="Times New Roman"/>
          <w:color w:val="000000"/>
          <w:sz w:val="24"/>
          <w:szCs w:val="24"/>
        </w:rPr>
        <w:t xml:space="preserve"> </w:t>
      </w:r>
      <w:proofErr w:type="spellStart"/>
      <w:r w:rsidRPr="00892290">
        <w:rPr>
          <w:rFonts w:ascii="Times New Roman" w:hAnsi="Times New Roman" w:cs="Times New Roman"/>
          <w:color w:val="000000"/>
          <w:sz w:val="24"/>
          <w:szCs w:val="24"/>
        </w:rPr>
        <w:t>fund</w:t>
      </w:r>
      <w:proofErr w:type="spellEnd"/>
      <w:r w:rsidRPr="00892290">
        <w:rPr>
          <w:rFonts w:ascii="Times New Roman" w:hAnsi="Times New Roman" w:cs="Times New Roman"/>
          <w:color w:val="000000"/>
          <w:sz w:val="24"/>
          <w:szCs w:val="24"/>
        </w:rPr>
        <w:t xml:space="preserve">) в соответствии с определением, содержащимся в секции 584 Налогового Кодекса США; </w:t>
      </w:r>
    </w:p>
    <w:p w:rsidR="00025139" w:rsidRPr="00892290" w:rsidRDefault="00025139" w:rsidP="00025139">
      <w:pPr>
        <w:pStyle w:val="a3"/>
        <w:numPr>
          <w:ilvl w:val="0"/>
          <w:numId w:val="11"/>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 xml:space="preserve">американские трасты, освобожденные от налогообложения согласно секции 664(с) (положения данной секции касаются трастов, созданных для благотворительных целей); </w:t>
      </w:r>
    </w:p>
    <w:p w:rsidR="00025139" w:rsidRPr="00892290" w:rsidRDefault="00025139" w:rsidP="00025139">
      <w:pPr>
        <w:pStyle w:val="a3"/>
        <w:numPr>
          <w:ilvl w:val="0"/>
          <w:numId w:val="11"/>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 xml:space="preserve">американские дилеры ценными бумагами, товарами биржевой торговли, или </w:t>
      </w:r>
    </w:p>
    <w:p w:rsidR="00025139" w:rsidRPr="00892290" w:rsidRDefault="00025139" w:rsidP="00025139">
      <w:pPr>
        <w:pStyle w:val="a3"/>
        <w:numPr>
          <w:ilvl w:val="0"/>
          <w:numId w:val="11"/>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proofErr w:type="spellStart"/>
      <w:r w:rsidRPr="00892290">
        <w:rPr>
          <w:rFonts w:ascii="Times New Roman" w:hAnsi="Times New Roman" w:cs="Times New Roman"/>
          <w:color w:val="000000"/>
          <w:sz w:val="24"/>
          <w:szCs w:val="24"/>
        </w:rPr>
        <w:t>деривативами</w:t>
      </w:r>
      <w:proofErr w:type="spellEnd"/>
      <w:r w:rsidRPr="00892290">
        <w:rPr>
          <w:rFonts w:ascii="Times New Roman" w:hAnsi="Times New Roman" w:cs="Times New Roman"/>
          <w:color w:val="000000"/>
          <w:sz w:val="24"/>
          <w:szCs w:val="24"/>
        </w:rPr>
        <w:t xml:space="preserve"> (включая такие инструменты как фьючерсы, форварды X опционы), зарегистрированные в качестве дилера в соответствии с требованиями законодательства США; </w:t>
      </w:r>
    </w:p>
    <w:p w:rsidR="00025139" w:rsidRPr="00892290" w:rsidRDefault="00025139" w:rsidP="00025139">
      <w:pPr>
        <w:pStyle w:val="a3"/>
        <w:numPr>
          <w:ilvl w:val="0"/>
          <w:numId w:val="11"/>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 xml:space="preserve">американские брокеры, имеющие соответствующую лицензию; </w:t>
      </w:r>
    </w:p>
    <w:p w:rsidR="00025139" w:rsidRPr="00892290" w:rsidRDefault="00025139" w:rsidP="00025139">
      <w:pPr>
        <w:pStyle w:val="a3"/>
        <w:numPr>
          <w:ilvl w:val="0"/>
          <w:numId w:val="11"/>
        </w:numPr>
        <w:tabs>
          <w:tab w:val="left" w:pos="1134"/>
        </w:tabs>
        <w:autoSpaceDE w:val="0"/>
        <w:autoSpaceDN w:val="0"/>
        <w:adjustRightInd w:val="0"/>
        <w:spacing w:after="17"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 xml:space="preserve">американские трасты, освобожденные от налогообложения согласно секции 403 (b) Налогового Кодекса США (трасты, созданные для сотрудников организации, </w:t>
      </w:r>
    </w:p>
    <w:p w:rsidR="00025139" w:rsidRDefault="00025139" w:rsidP="00025139">
      <w:pPr>
        <w:pStyle w:val="a3"/>
        <w:numPr>
          <w:ilvl w:val="0"/>
          <w:numId w:val="11"/>
        </w:numPr>
        <w:tabs>
          <w:tab w:val="left" w:pos="1134"/>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892290">
        <w:rPr>
          <w:rFonts w:ascii="Times New Roman" w:hAnsi="Times New Roman" w:cs="Times New Roman"/>
          <w:color w:val="000000"/>
          <w:sz w:val="24"/>
          <w:szCs w:val="24"/>
        </w:rPr>
        <w:t xml:space="preserve">удовлетворяющие определенным критериям) и секции 457 (g) трасты, созданные для выплаты компенсаций сотрудникам государственных организаций США. </w:t>
      </w:r>
    </w:p>
    <w:p w:rsidR="00025139" w:rsidRPr="0041333F" w:rsidRDefault="00025139" w:rsidP="00051023">
      <w:pPr>
        <w:pStyle w:val="a3"/>
        <w:numPr>
          <w:ilvl w:val="1"/>
          <w:numId w:val="16"/>
        </w:numPr>
        <w:shd w:val="clear" w:color="auto" w:fill="FFFFFF"/>
        <w:tabs>
          <w:tab w:val="left" w:pos="1134"/>
        </w:tabs>
        <w:spacing w:after="0" w:line="240" w:lineRule="auto"/>
        <w:jc w:val="both"/>
        <w:rPr>
          <w:rFonts w:ascii="Times New Roman" w:eastAsia="Times New Roman" w:hAnsi="Times New Roman" w:cs="Times New Roman"/>
          <w:bCs/>
          <w:sz w:val="24"/>
          <w:szCs w:val="24"/>
          <w:lang w:eastAsia="ru-RU"/>
        </w:rPr>
      </w:pPr>
      <w:r w:rsidRPr="0041333F">
        <w:rPr>
          <w:rFonts w:ascii="Times New Roman" w:eastAsia="Times New Roman" w:hAnsi="Times New Roman" w:cs="Times New Roman"/>
          <w:bCs/>
          <w:sz w:val="24"/>
          <w:szCs w:val="24"/>
          <w:lang w:eastAsia="ru-RU"/>
        </w:rPr>
        <w:t>Включению в отчет подлежат следующие Клиенты - юридические лица:</w:t>
      </w:r>
    </w:p>
    <w:p w:rsidR="00025139" w:rsidRPr="005308E3"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w:t>
      </w:r>
      <w:r w:rsidRPr="005308E3">
        <w:rPr>
          <w:rFonts w:ascii="Times New Roman" w:hAnsi="Times New Roman" w:cs="Times New Roman"/>
          <w:color w:val="000000"/>
          <w:sz w:val="24"/>
          <w:szCs w:val="24"/>
          <w:lang w:eastAsia="ru-RU"/>
        </w:rPr>
        <w:t xml:space="preserve">епубличные </w:t>
      </w:r>
      <w:r>
        <w:rPr>
          <w:rFonts w:ascii="Times New Roman" w:hAnsi="Times New Roman" w:cs="Times New Roman"/>
          <w:color w:val="000000"/>
          <w:sz w:val="24"/>
          <w:szCs w:val="24"/>
          <w:lang w:eastAsia="ru-RU"/>
        </w:rPr>
        <w:t>нефинансовые организации</w:t>
      </w:r>
      <w:r w:rsidRPr="005308E3">
        <w:rPr>
          <w:rFonts w:ascii="Times New Roman" w:hAnsi="Times New Roman" w:cs="Times New Roman"/>
          <w:color w:val="000000"/>
          <w:sz w:val="24"/>
          <w:szCs w:val="24"/>
          <w:lang w:eastAsia="ru-RU"/>
        </w:rPr>
        <w:t xml:space="preserve"> - налоговые резиденты США (</w:t>
      </w:r>
      <w:proofErr w:type="spellStart"/>
      <w:r w:rsidRPr="005308E3">
        <w:rPr>
          <w:rFonts w:ascii="Times New Roman" w:hAnsi="Times New Roman" w:cs="Times New Roman"/>
          <w:color w:val="000000"/>
          <w:sz w:val="24"/>
          <w:szCs w:val="24"/>
          <w:lang w:eastAsia="ru-RU"/>
        </w:rPr>
        <w:t>Specified</w:t>
      </w:r>
      <w:proofErr w:type="spellEnd"/>
      <w:r w:rsidRPr="005308E3">
        <w:rPr>
          <w:rFonts w:ascii="Times New Roman" w:hAnsi="Times New Roman" w:cs="Times New Roman"/>
          <w:color w:val="000000"/>
          <w:sz w:val="24"/>
          <w:szCs w:val="24"/>
          <w:lang w:eastAsia="ru-RU"/>
        </w:rPr>
        <w:t xml:space="preserve"> US </w:t>
      </w:r>
      <w:proofErr w:type="spellStart"/>
      <w:r w:rsidRPr="005308E3">
        <w:rPr>
          <w:rFonts w:ascii="Times New Roman" w:hAnsi="Times New Roman" w:cs="Times New Roman"/>
          <w:color w:val="000000"/>
          <w:sz w:val="24"/>
          <w:szCs w:val="24"/>
          <w:lang w:eastAsia="ru-RU"/>
        </w:rPr>
        <w:t>person</w:t>
      </w:r>
      <w:proofErr w:type="spellEnd"/>
      <w:r w:rsidRPr="005308E3">
        <w:rPr>
          <w:rFonts w:ascii="Times New Roman" w:hAnsi="Times New Roman" w:cs="Times New Roman"/>
          <w:color w:val="000000"/>
          <w:sz w:val="24"/>
          <w:szCs w:val="24"/>
          <w:lang w:eastAsia="ru-RU"/>
        </w:rPr>
        <w:t>);</w:t>
      </w:r>
    </w:p>
    <w:p w:rsidR="00025139" w:rsidRPr="005308E3"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w:t>
      </w:r>
      <w:r w:rsidRPr="005308E3">
        <w:rPr>
          <w:rFonts w:ascii="Times New Roman" w:hAnsi="Times New Roman" w:cs="Times New Roman"/>
          <w:color w:val="000000"/>
          <w:sz w:val="24"/>
          <w:szCs w:val="24"/>
          <w:lang w:eastAsia="ru-RU"/>
        </w:rPr>
        <w:t xml:space="preserve">епубличные </w:t>
      </w:r>
      <w:r>
        <w:rPr>
          <w:rFonts w:ascii="Times New Roman" w:hAnsi="Times New Roman" w:cs="Times New Roman"/>
          <w:color w:val="000000"/>
          <w:sz w:val="24"/>
          <w:szCs w:val="24"/>
          <w:lang w:eastAsia="ru-RU"/>
        </w:rPr>
        <w:t>нефинансовые организации, к</w:t>
      </w:r>
      <w:r w:rsidRPr="005308E3">
        <w:rPr>
          <w:rFonts w:ascii="Times New Roman" w:hAnsi="Times New Roman" w:cs="Times New Roman"/>
          <w:color w:val="000000"/>
          <w:sz w:val="24"/>
          <w:szCs w:val="24"/>
          <w:lang w:eastAsia="ru-RU"/>
        </w:rPr>
        <w:t>оторые являются налоговыми резидентами США, но не предоставили в Банк согласие на направление сведений о них в IRS (</w:t>
      </w:r>
      <w:proofErr w:type="spellStart"/>
      <w:r w:rsidRPr="005308E3">
        <w:rPr>
          <w:rFonts w:ascii="Times New Roman" w:hAnsi="Times New Roman" w:cs="Times New Roman"/>
          <w:color w:val="000000"/>
          <w:sz w:val="24"/>
          <w:szCs w:val="24"/>
          <w:lang w:eastAsia="ru-RU"/>
        </w:rPr>
        <w:t>Recalcitrant</w:t>
      </w:r>
      <w:proofErr w:type="spellEnd"/>
      <w:r w:rsidRPr="005308E3">
        <w:rPr>
          <w:rFonts w:ascii="Times New Roman" w:hAnsi="Times New Roman" w:cs="Times New Roman"/>
          <w:color w:val="000000"/>
          <w:sz w:val="24"/>
          <w:szCs w:val="24"/>
          <w:lang w:eastAsia="ru-RU"/>
        </w:rPr>
        <w:t xml:space="preserve"> </w:t>
      </w:r>
      <w:proofErr w:type="spellStart"/>
      <w:r w:rsidRPr="005308E3">
        <w:rPr>
          <w:rFonts w:ascii="Times New Roman" w:hAnsi="Times New Roman" w:cs="Times New Roman"/>
          <w:color w:val="000000"/>
          <w:sz w:val="24"/>
          <w:szCs w:val="24"/>
          <w:lang w:eastAsia="ru-RU"/>
        </w:rPr>
        <w:t>that</w:t>
      </w:r>
      <w:proofErr w:type="spellEnd"/>
      <w:r w:rsidRPr="005308E3">
        <w:rPr>
          <w:rFonts w:ascii="Times New Roman" w:hAnsi="Times New Roman" w:cs="Times New Roman"/>
          <w:color w:val="000000"/>
          <w:sz w:val="24"/>
          <w:szCs w:val="24"/>
          <w:lang w:eastAsia="ru-RU"/>
        </w:rPr>
        <w:t xml:space="preserve"> </w:t>
      </w:r>
      <w:proofErr w:type="spellStart"/>
      <w:r w:rsidRPr="005308E3">
        <w:rPr>
          <w:rFonts w:ascii="Times New Roman" w:hAnsi="Times New Roman" w:cs="Times New Roman"/>
          <w:color w:val="000000"/>
          <w:sz w:val="24"/>
          <w:szCs w:val="24"/>
          <w:lang w:eastAsia="ru-RU"/>
        </w:rPr>
        <w:t>are</w:t>
      </w:r>
      <w:proofErr w:type="spellEnd"/>
      <w:r w:rsidRPr="005308E3">
        <w:rPr>
          <w:rFonts w:ascii="Times New Roman" w:hAnsi="Times New Roman" w:cs="Times New Roman"/>
          <w:color w:val="000000"/>
          <w:sz w:val="24"/>
          <w:szCs w:val="24"/>
          <w:lang w:eastAsia="ru-RU"/>
        </w:rPr>
        <w:t xml:space="preserve"> US </w:t>
      </w:r>
      <w:proofErr w:type="spellStart"/>
      <w:r w:rsidRPr="005308E3">
        <w:rPr>
          <w:rFonts w:ascii="Times New Roman" w:hAnsi="Times New Roman" w:cs="Times New Roman"/>
          <w:color w:val="000000"/>
          <w:sz w:val="24"/>
          <w:szCs w:val="24"/>
          <w:lang w:eastAsia="ru-RU"/>
        </w:rPr>
        <w:t>person</w:t>
      </w:r>
      <w:proofErr w:type="spellEnd"/>
      <w:r w:rsidRPr="005308E3">
        <w:rPr>
          <w:rFonts w:ascii="Times New Roman" w:hAnsi="Times New Roman" w:cs="Times New Roman"/>
          <w:color w:val="000000"/>
          <w:sz w:val="24"/>
          <w:szCs w:val="24"/>
          <w:lang w:eastAsia="ru-RU"/>
        </w:rPr>
        <w:t>);</w:t>
      </w:r>
    </w:p>
    <w:p w:rsidR="00025139"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lang w:eastAsia="ru-RU"/>
        </w:rPr>
        <w:t>п</w:t>
      </w:r>
      <w:r w:rsidRPr="005308E3">
        <w:rPr>
          <w:rFonts w:ascii="Times New Roman" w:hAnsi="Times New Roman" w:cs="Times New Roman"/>
          <w:color w:val="000000"/>
          <w:sz w:val="24"/>
          <w:szCs w:val="24"/>
          <w:lang w:eastAsia="ru-RU"/>
        </w:rPr>
        <w:t xml:space="preserve">ассивная </w:t>
      </w:r>
      <w:r>
        <w:rPr>
          <w:rFonts w:ascii="Times New Roman" w:hAnsi="Times New Roman" w:cs="Times New Roman"/>
          <w:color w:val="000000"/>
          <w:sz w:val="24"/>
          <w:szCs w:val="24"/>
          <w:lang w:eastAsia="ru-RU"/>
        </w:rPr>
        <w:t>нефинансовая организация</w:t>
      </w:r>
      <w:r w:rsidRPr="005308E3">
        <w:rPr>
          <w:rFonts w:ascii="Times New Roman" w:hAnsi="Times New Roman" w:cs="Times New Roman"/>
          <w:color w:val="000000"/>
          <w:sz w:val="24"/>
          <w:szCs w:val="24"/>
          <w:lang w:eastAsia="ru-RU"/>
        </w:rPr>
        <w:t xml:space="preserve"> – с </w:t>
      </w:r>
      <w:proofErr w:type="spellStart"/>
      <w:r w:rsidRPr="005308E3">
        <w:rPr>
          <w:rFonts w:ascii="Times New Roman" w:hAnsi="Times New Roman" w:cs="Times New Roman"/>
          <w:color w:val="000000"/>
          <w:sz w:val="24"/>
          <w:szCs w:val="24"/>
          <w:lang w:eastAsia="ru-RU"/>
        </w:rPr>
        <w:t>бенефициарными</w:t>
      </w:r>
      <w:proofErr w:type="spellEnd"/>
      <w:r w:rsidRPr="005308E3">
        <w:rPr>
          <w:rFonts w:ascii="Times New Roman" w:hAnsi="Times New Roman" w:cs="Times New Roman"/>
          <w:color w:val="000000"/>
          <w:sz w:val="24"/>
          <w:szCs w:val="24"/>
          <w:lang w:eastAsia="ru-RU"/>
        </w:rPr>
        <w:t xml:space="preserve"> владельцами – резидентами США (</w:t>
      </w:r>
      <w:proofErr w:type="spellStart"/>
      <w:r w:rsidRPr="005308E3">
        <w:rPr>
          <w:rFonts w:ascii="Times New Roman" w:hAnsi="Times New Roman" w:cs="Times New Roman"/>
          <w:color w:val="000000"/>
          <w:sz w:val="24"/>
          <w:szCs w:val="24"/>
          <w:lang w:eastAsia="ru-RU"/>
        </w:rPr>
        <w:t>Passive</w:t>
      </w:r>
      <w:proofErr w:type="spellEnd"/>
      <w:r w:rsidRPr="005308E3">
        <w:rPr>
          <w:rFonts w:ascii="Times New Roman" w:hAnsi="Times New Roman" w:cs="Times New Roman"/>
          <w:color w:val="000000"/>
          <w:sz w:val="24"/>
          <w:szCs w:val="24"/>
          <w:lang w:eastAsia="ru-RU"/>
        </w:rPr>
        <w:t xml:space="preserve"> NFFE </w:t>
      </w:r>
      <w:proofErr w:type="spellStart"/>
      <w:r w:rsidRPr="005308E3">
        <w:rPr>
          <w:rFonts w:ascii="Times New Roman" w:hAnsi="Times New Roman" w:cs="Times New Roman"/>
          <w:color w:val="000000"/>
          <w:sz w:val="24"/>
          <w:szCs w:val="24"/>
          <w:lang w:eastAsia="ru-RU"/>
        </w:rPr>
        <w:t>with</w:t>
      </w:r>
      <w:proofErr w:type="spellEnd"/>
      <w:r w:rsidRPr="005308E3">
        <w:rPr>
          <w:rFonts w:ascii="Times New Roman" w:hAnsi="Times New Roman" w:cs="Times New Roman"/>
          <w:color w:val="000000"/>
          <w:sz w:val="24"/>
          <w:szCs w:val="24"/>
          <w:lang w:eastAsia="ru-RU"/>
        </w:rPr>
        <w:t xml:space="preserve"> </w:t>
      </w:r>
      <w:proofErr w:type="spellStart"/>
      <w:r w:rsidRPr="005308E3">
        <w:rPr>
          <w:rFonts w:ascii="Times New Roman" w:hAnsi="Times New Roman" w:cs="Times New Roman"/>
          <w:color w:val="000000"/>
          <w:sz w:val="24"/>
          <w:szCs w:val="24"/>
          <w:lang w:eastAsia="ru-RU"/>
        </w:rPr>
        <w:t>Substantial</w:t>
      </w:r>
      <w:proofErr w:type="spellEnd"/>
      <w:r w:rsidRPr="005308E3">
        <w:rPr>
          <w:rFonts w:ascii="Times New Roman" w:eastAsia="Times New Roman" w:hAnsi="Times New Roman" w:cs="Times New Roman"/>
          <w:bCs/>
          <w:sz w:val="24"/>
          <w:szCs w:val="24"/>
          <w:lang w:eastAsia="ru-RU"/>
        </w:rPr>
        <w:t xml:space="preserve"> US </w:t>
      </w:r>
      <w:proofErr w:type="spellStart"/>
      <w:r w:rsidRPr="005308E3">
        <w:rPr>
          <w:rFonts w:ascii="Times New Roman" w:eastAsia="Times New Roman" w:hAnsi="Times New Roman" w:cs="Times New Roman"/>
          <w:bCs/>
          <w:sz w:val="24"/>
          <w:szCs w:val="24"/>
          <w:lang w:eastAsia="ru-RU"/>
        </w:rPr>
        <w:t>Owner</w:t>
      </w:r>
      <w:proofErr w:type="spellEnd"/>
      <w:r w:rsidRPr="005308E3">
        <w:rPr>
          <w:rFonts w:ascii="Times New Roman" w:eastAsia="Times New Roman" w:hAnsi="Times New Roman" w:cs="Times New Roman"/>
          <w:bCs/>
          <w:sz w:val="24"/>
          <w:szCs w:val="24"/>
          <w:lang w:eastAsia="ru-RU"/>
        </w:rPr>
        <w:t>).</w:t>
      </w:r>
    </w:p>
    <w:p w:rsidR="00025139" w:rsidRPr="00051023" w:rsidRDefault="00025139" w:rsidP="00051023">
      <w:pPr>
        <w:pStyle w:val="a3"/>
        <w:numPr>
          <w:ilvl w:val="1"/>
          <w:numId w:val="16"/>
        </w:numPr>
        <w:shd w:val="clear" w:color="auto" w:fill="FFFFFF"/>
        <w:spacing w:after="0" w:line="240" w:lineRule="auto"/>
        <w:jc w:val="both"/>
        <w:rPr>
          <w:rFonts w:ascii="Times New Roman" w:eastAsia="Times New Roman" w:hAnsi="Times New Roman" w:cs="Times New Roman"/>
          <w:bCs/>
          <w:sz w:val="24"/>
          <w:szCs w:val="24"/>
          <w:lang w:eastAsia="ru-RU"/>
        </w:rPr>
      </w:pPr>
      <w:r w:rsidRPr="00051023">
        <w:rPr>
          <w:rFonts w:ascii="Times New Roman" w:eastAsia="Times New Roman" w:hAnsi="Times New Roman" w:cs="Times New Roman"/>
          <w:bCs/>
          <w:sz w:val="24"/>
          <w:szCs w:val="24"/>
          <w:lang w:eastAsia="ru-RU"/>
        </w:rPr>
        <w:t xml:space="preserve">Клиенты финансовые институты (FFI) в целях </w:t>
      </w:r>
      <w:r w:rsidRPr="00051023">
        <w:rPr>
          <w:rFonts w:ascii="Times New Roman" w:eastAsia="Times New Roman" w:hAnsi="Times New Roman" w:cs="Times New Roman"/>
          <w:bCs/>
          <w:sz w:val="24"/>
          <w:szCs w:val="24"/>
          <w:lang w:val="en-US" w:eastAsia="ru-RU"/>
        </w:rPr>
        <w:t>FATCA</w:t>
      </w:r>
      <w:r w:rsidRPr="00051023">
        <w:rPr>
          <w:rFonts w:ascii="Times New Roman" w:eastAsia="Times New Roman" w:hAnsi="Times New Roman" w:cs="Times New Roman"/>
          <w:bCs/>
          <w:sz w:val="24"/>
          <w:szCs w:val="24"/>
          <w:lang w:eastAsia="ru-RU"/>
        </w:rPr>
        <w:t>:</w:t>
      </w:r>
    </w:p>
    <w:p w:rsidR="00025139" w:rsidRPr="005308E3"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hAnsi="Times New Roman" w:cs="Times New Roman"/>
          <w:color w:val="000000"/>
          <w:sz w:val="24"/>
          <w:szCs w:val="24"/>
          <w:lang w:eastAsia="ru-RU"/>
        </w:rPr>
        <w:t>кредитные организации;</w:t>
      </w:r>
    </w:p>
    <w:p w:rsidR="00025139" w:rsidRPr="005308E3"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управляющие компании;</w:t>
      </w:r>
    </w:p>
    <w:p w:rsidR="00025139" w:rsidRPr="005308E3"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брокерские компании;</w:t>
      </w:r>
    </w:p>
    <w:p w:rsidR="00025139" w:rsidRPr="005308E3"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депозитарии;</w:t>
      </w:r>
    </w:p>
    <w:p w:rsidR="00025139" w:rsidRPr="005308E3"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инвестиционные компании;</w:t>
      </w:r>
    </w:p>
    <w:p w:rsidR="00025139" w:rsidRPr="005308E3"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страховые компании, предоставляющие услуги по страхованию жизни;</w:t>
      </w:r>
    </w:p>
    <w:p w:rsidR="00025139" w:rsidRPr="005308E3"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hAnsi="Times New Roman" w:cs="Times New Roman"/>
          <w:color w:val="000000"/>
          <w:sz w:val="24"/>
          <w:szCs w:val="24"/>
          <w:lang w:eastAsia="ru-RU"/>
        </w:rPr>
        <w:t>негосударственные пенсионные фонды;</w:t>
      </w:r>
    </w:p>
    <w:p w:rsidR="00025139" w:rsidRPr="005308E3"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hAnsi="Times New Roman" w:cs="Times New Roman"/>
          <w:color w:val="000000"/>
          <w:sz w:val="24"/>
          <w:szCs w:val="24"/>
          <w:lang w:eastAsia="ru-RU"/>
        </w:rPr>
        <w:t>акционерные инвестиционные фонды;</w:t>
      </w:r>
    </w:p>
    <w:p w:rsidR="00025139" w:rsidRPr="005308E3" w:rsidRDefault="00025139" w:rsidP="00025139">
      <w:pPr>
        <w:numPr>
          <w:ilvl w:val="1"/>
          <w:numId w:val="5"/>
        </w:numPr>
        <w:shd w:val="clear" w:color="auto" w:fill="FFFFFF"/>
        <w:tabs>
          <w:tab w:val="left" w:pos="1134"/>
        </w:tabs>
        <w:spacing w:after="0" w:line="240" w:lineRule="auto"/>
        <w:ind w:left="0" w:firstLine="851"/>
        <w:contextualSpacing/>
        <w:jc w:val="both"/>
        <w:rPr>
          <w:rFonts w:ascii="Times New Roman" w:eastAsia="Times New Roman" w:hAnsi="Times New Roman" w:cs="Times New Roman"/>
          <w:bCs/>
          <w:sz w:val="24"/>
          <w:szCs w:val="24"/>
          <w:lang w:eastAsia="ru-RU"/>
        </w:rPr>
      </w:pPr>
      <w:r w:rsidRPr="005308E3">
        <w:rPr>
          <w:rFonts w:ascii="Times New Roman" w:hAnsi="Times New Roman" w:cs="Times New Roman"/>
          <w:color w:val="000000"/>
          <w:sz w:val="24"/>
          <w:szCs w:val="24"/>
          <w:lang w:eastAsia="ru-RU"/>
        </w:rPr>
        <w:t>клиринговые организации.</w:t>
      </w:r>
    </w:p>
    <w:p w:rsidR="00025139" w:rsidRDefault="00025139" w:rsidP="00025139">
      <w:pPr>
        <w:shd w:val="clear" w:color="auto" w:fill="FFFFFF"/>
        <w:spacing w:after="0" w:line="240" w:lineRule="auto"/>
        <w:ind w:firstLine="851"/>
        <w:contextualSpacing/>
        <w:jc w:val="both"/>
        <w:rPr>
          <w:rFonts w:ascii="Times New Roman" w:eastAsia="Times New Roman" w:hAnsi="Times New Roman" w:cs="Times New Roman"/>
          <w:bCs/>
          <w:sz w:val="24"/>
          <w:szCs w:val="24"/>
          <w:lang w:eastAsia="ru-RU"/>
        </w:rPr>
      </w:pPr>
      <w:r w:rsidRPr="005308E3">
        <w:rPr>
          <w:rFonts w:ascii="Times New Roman" w:eastAsia="Times New Roman" w:hAnsi="Times New Roman" w:cs="Times New Roman"/>
          <w:bCs/>
          <w:sz w:val="24"/>
          <w:szCs w:val="24"/>
          <w:lang w:eastAsia="ru-RU"/>
        </w:rPr>
        <w:t xml:space="preserve">Отнесение Клиента к «FFI» осуществляется на основании основного вида экономической деятельности. </w:t>
      </w:r>
    </w:p>
    <w:p w:rsidR="00025139" w:rsidRPr="0041333F" w:rsidRDefault="00025139" w:rsidP="00051023">
      <w:pPr>
        <w:pStyle w:val="a3"/>
        <w:numPr>
          <w:ilvl w:val="1"/>
          <w:numId w:val="16"/>
        </w:numPr>
        <w:shd w:val="clear" w:color="auto" w:fill="FFFFFF"/>
        <w:spacing w:after="0" w:line="240" w:lineRule="auto"/>
        <w:ind w:left="0" w:firstLine="851"/>
        <w:jc w:val="both"/>
        <w:rPr>
          <w:rFonts w:ascii="Times New Roman" w:eastAsia="Times New Roman" w:hAnsi="Times New Roman" w:cs="Times New Roman"/>
          <w:bCs/>
          <w:sz w:val="24"/>
          <w:szCs w:val="24"/>
          <w:lang w:eastAsia="ru-RU"/>
        </w:rPr>
      </w:pPr>
      <w:r w:rsidRPr="0041333F">
        <w:rPr>
          <w:rFonts w:ascii="Times New Roman" w:eastAsia="Times New Roman" w:hAnsi="Times New Roman" w:cs="Times New Roman"/>
          <w:bCs/>
          <w:sz w:val="24"/>
          <w:szCs w:val="24"/>
          <w:lang w:eastAsia="ru-RU"/>
        </w:rPr>
        <w:t>Юридическое лицо, созданное в соответствии с законодательством Российской Федерации, более 90 процентов акций (долей) уставного капитала которого прямо или косвенно контролируются Российской Федерацией и/или гражданами Российской Федерации, в том числе имеющими одновременно с гражданством Российской Федерации гражданство государства - члена Таможенного союза не может быть отнесено к категории Клиента – иностранного налогоплательщика.</w:t>
      </w:r>
    </w:p>
    <w:p w:rsidR="00025139" w:rsidRPr="00013925" w:rsidRDefault="00025139" w:rsidP="00051023">
      <w:pPr>
        <w:pStyle w:val="a3"/>
        <w:numPr>
          <w:ilvl w:val="1"/>
          <w:numId w:val="16"/>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Pr>
          <w:rFonts w:ascii="Times New Roman" w:hAnsi="Times New Roman" w:cs="Times New Roman"/>
          <w:color w:val="000000"/>
          <w:sz w:val="23"/>
          <w:szCs w:val="23"/>
        </w:rPr>
        <w:t>Указанные в настоящем разделе к</w:t>
      </w:r>
      <w:r w:rsidRPr="00013925">
        <w:rPr>
          <w:rFonts w:ascii="Times New Roman" w:hAnsi="Times New Roman" w:cs="Times New Roman"/>
          <w:color w:val="000000"/>
          <w:sz w:val="23"/>
          <w:szCs w:val="23"/>
        </w:rPr>
        <w:t>ритерии не явля</w:t>
      </w:r>
      <w:r>
        <w:rPr>
          <w:rFonts w:ascii="Times New Roman" w:hAnsi="Times New Roman" w:cs="Times New Roman"/>
          <w:color w:val="000000"/>
          <w:sz w:val="23"/>
          <w:szCs w:val="23"/>
        </w:rPr>
        <w:t>ются</w:t>
      </w:r>
      <w:r w:rsidRPr="00013925">
        <w:rPr>
          <w:rFonts w:ascii="Times New Roman" w:hAnsi="Times New Roman" w:cs="Times New Roman"/>
          <w:color w:val="000000"/>
          <w:sz w:val="23"/>
          <w:szCs w:val="23"/>
        </w:rPr>
        <w:t xml:space="preserve"> для Банка исчерпывающими. Наличие других критериев выявляется исходя из анализа полученных сведений от Клиента. </w:t>
      </w:r>
    </w:p>
    <w:p w:rsidR="00124F70" w:rsidRDefault="00124F70" w:rsidP="00051023">
      <w:pPr>
        <w:ind w:firstLine="851"/>
      </w:pPr>
    </w:p>
    <w:sectPr w:rsidR="00124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C6C"/>
    <w:multiLevelType w:val="hybridMultilevel"/>
    <w:tmpl w:val="BB52D840"/>
    <w:lvl w:ilvl="0" w:tplc="4356C462">
      <w:start w:val="1"/>
      <w:numFmt w:val="bullet"/>
      <w:lvlText w:val=""/>
      <w:lvlJc w:val="left"/>
      <w:pPr>
        <w:ind w:left="1571" w:hanging="360"/>
      </w:pPr>
      <w:rPr>
        <w:rFonts w:ascii="Wingdings" w:hAnsi="Wingdings" w:hint="default"/>
        <w:sz w:val="24"/>
        <w:szCs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4BD01CD"/>
    <w:multiLevelType w:val="multilevel"/>
    <w:tmpl w:val="27983C9A"/>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A336F63"/>
    <w:multiLevelType w:val="hybridMultilevel"/>
    <w:tmpl w:val="EB94135E"/>
    <w:lvl w:ilvl="0" w:tplc="4356C462">
      <w:start w:val="1"/>
      <w:numFmt w:val="bullet"/>
      <w:lvlText w:val=""/>
      <w:lvlJc w:val="left"/>
      <w:pPr>
        <w:ind w:left="1211" w:hanging="360"/>
      </w:pPr>
      <w:rPr>
        <w:rFonts w:ascii="Wingdings" w:hAnsi="Wingdings" w:hint="default"/>
        <w:sz w:val="24"/>
        <w:szCs w:val="24"/>
      </w:rPr>
    </w:lvl>
    <w:lvl w:ilvl="1" w:tplc="0419000F">
      <w:start w:val="1"/>
      <w:numFmt w:val="decimal"/>
      <w:lvlText w:val="%2."/>
      <w:lvlJc w:val="left"/>
      <w:pPr>
        <w:tabs>
          <w:tab w:val="num" w:pos="1931"/>
        </w:tabs>
        <w:ind w:left="1931" w:hanging="360"/>
      </w:pPr>
      <w:rPr>
        <w:rFonts w:hint="default"/>
        <w:sz w:val="18"/>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0ADD7AEE"/>
    <w:multiLevelType w:val="multilevel"/>
    <w:tmpl w:val="B800857E"/>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370E74"/>
    <w:multiLevelType w:val="hybridMultilevel"/>
    <w:tmpl w:val="8BEECDD2"/>
    <w:lvl w:ilvl="0" w:tplc="91F87EEE">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5970DA"/>
    <w:multiLevelType w:val="hybridMultilevel"/>
    <w:tmpl w:val="5DAE7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EB0E8E"/>
    <w:multiLevelType w:val="hybridMultilevel"/>
    <w:tmpl w:val="EF46150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0F93688"/>
    <w:multiLevelType w:val="multilevel"/>
    <w:tmpl w:val="A17E02CC"/>
    <w:lvl w:ilvl="0">
      <w:start w:val="2"/>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10360" w:hanging="720"/>
      </w:pPr>
      <w:rPr>
        <w:rFonts w:hint="default"/>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176" w:hanging="1800"/>
      </w:pPr>
      <w:rPr>
        <w:rFonts w:hint="default"/>
      </w:rPr>
    </w:lvl>
  </w:abstractNum>
  <w:abstractNum w:abstractNumId="8" w15:restartNumberingAfterBreak="0">
    <w:nsid w:val="2A85624A"/>
    <w:multiLevelType w:val="multilevel"/>
    <w:tmpl w:val="071C2A80"/>
    <w:lvl w:ilvl="0">
      <w:start w:val="1"/>
      <w:numFmt w:val="decimal"/>
      <w:lvlText w:val="%1."/>
      <w:lvlJc w:val="left"/>
      <w:pPr>
        <w:ind w:left="360" w:hanging="360"/>
      </w:pPr>
      <w:rPr>
        <w:rFonts w:hint="default"/>
      </w:rPr>
    </w:lvl>
    <w:lvl w:ilvl="1">
      <w:start w:val="4"/>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F948DF"/>
    <w:multiLevelType w:val="multilevel"/>
    <w:tmpl w:val="AD14748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AA63EBA"/>
    <w:multiLevelType w:val="hybridMultilevel"/>
    <w:tmpl w:val="BF9C7CFA"/>
    <w:lvl w:ilvl="0" w:tplc="04190005">
      <w:start w:val="1"/>
      <w:numFmt w:val="bullet"/>
      <w:lvlText w:val=""/>
      <w:lvlJc w:val="left"/>
      <w:pPr>
        <w:ind w:left="720" w:hanging="360"/>
      </w:pPr>
      <w:rPr>
        <w:rFonts w:ascii="Wingdings" w:hAnsi="Wingdings" w:hint="default"/>
      </w:rPr>
    </w:lvl>
    <w:lvl w:ilvl="1" w:tplc="4164200C">
      <w:start w:val="1"/>
      <w:numFmt w:val="bullet"/>
      <w:lvlText w:val="–"/>
      <w:lvlJc w:val="left"/>
      <w:pPr>
        <w:ind w:left="1440" w:hanging="360"/>
      </w:pPr>
      <w:rPr>
        <w:rFonts w:ascii="Sylfaen" w:hAnsi="Sylfae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090C59"/>
    <w:multiLevelType w:val="hybridMultilevel"/>
    <w:tmpl w:val="D45A27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C8525E"/>
    <w:multiLevelType w:val="hybridMultilevel"/>
    <w:tmpl w:val="6736F20E"/>
    <w:lvl w:ilvl="0" w:tplc="91F87EEE">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B403D3"/>
    <w:multiLevelType w:val="hybridMultilevel"/>
    <w:tmpl w:val="D786E40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F019E1"/>
    <w:multiLevelType w:val="multilevel"/>
    <w:tmpl w:val="0BBC67A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F1095E"/>
    <w:multiLevelType w:val="multilevel"/>
    <w:tmpl w:val="09DED3C0"/>
    <w:lvl w:ilvl="0">
      <w:start w:val="2"/>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3"/>
  </w:num>
  <w:num w:numId="2">
    <w:abstractNumId w:val="6"/>
  </w:num>
  <w:num w:numId="3">
    <w:abstractNumId w:val="2"/>
  </w:num>
  <w:num w:numId="4">
    <w:abstractNumId w:val="10"/>
  </w:num>
  <w:num w:numId="5">
    <w:abstractNumId w:val="4"/>
  </w:num>
  <w:num w:numId="6">
    <w:abstractNumId w:val="12"/>
  </w:num>
  <w:num w:numId="7">
    <w:abstractNumId w:val="15"/>
  </w:num>
  <w:num w:numId="8">
    <w:abstractNumId w:val="14"/>
  </w:num>
  <w:num w:numId="9">
    <w:abstractNumId w:val="5"/>
  </w:num>
  <w:num w:numId="10">
    <w:abstractNumId w:val="11"/>
  </w:num>
  <w:num w:numId="11">
    <w:abstractNumId w:val="0"/>
  </w:num>
  <w:num w:numId="12">
    <w:abstractNumId w:val="8"/>
  </w:num>
  <w:num w:numId="13">
    <w:abstractNumId w:val="9"/>
  </w:num>
  <w:num w:numId="14">
    <w:abstractNumId w:val="1"/>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39"/>
    <w:rsid w:val="00025139"/>
    <w:rsid w:val="00051023"/>
    <w:rsid w:val="00073D7D"/>
    <w:rsid w:val="00124F70"/>
    <w:rsid w:val="00CD5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EFD41-9FDA-41CC-8001-F3CED01E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1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513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25139"/>
    <w:pPr>
      <w:ind w:left="720"/>
      <w:contextualSpacing/>
    </w:pPr>
  </w:style>
  <w:style w:type="table" w:styleId="a4">
    <w:name w:val="Table Grid"/>
    <w:basedOn w:val="a1"/>
    <w:uiPriority w:val="59"/>
    <w:unhideWhenUsed/>
    <w:rsid w:val="00CD59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1741</Words>
  <Characters>9928</Characters>
  <Application>Microsoft Office Word</Application>
  <DocSecurity>0</DocSecurity>
  <Lines>82</Lines>
  <Paragraphs>23</Paragraphs>
  <ScaleCrop>false</ScaleCrop>
  <Company/>
  <LinksUpToDate>false</LinksUpToDate>
  <CharactersWithSpaces>11646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Поминова Елена Ивановна</dc:creator>
  <cp:keywords/>
  <dc:description/>
  <cp:lastModifiedBy>Поминова Елена Ивановна</cp:lastModifiedBy>
  <cp:revision>4</cp:revision>
  <dcterms:created xsi:type="dcterms:W3CDTF">2021-01-22T08:43:00Z</dcterms:created>
  <dcterms:modified xsi:type="dcterms:W3CDTF">2021-01-28T08:53:00Z</dcterms:modified>
</cp:coreProperties>
</file>